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64F7" w:rsidRDefault="00DD1DD8" w14:paraId="64FCF0F5" w14:textId="087FB11C">
      <w:pPr>
        <w:jc w:val="center"/>
        <w:rPr>
          <w:rFonts w:eastAsia="Calibri" w:cstheme="minorHAnsi"/>
          <w:b/>
          <w:sz w:val="28"/>
          <w:szCs w:val="28"/>
          <w:u w:val="single"/>
        </w:rPr>
      </w:pPr>
      <w:r w:rsidRPr="00186AFA">
        <w:rPr>
          <w:rFonts w:eastAsia="Calibri" w:cstheme="minorHAnsi"/>
          <w:b/>
          <w:sz w:val="28"/>
          <w:szCs w:val="28"/>
          <w:u w:val="single"/>
        </w:rPr>
        <w:t xml:space="preserve">Retention </w:t>
      </w:r>
      <w:r w:rsidR="009159A8">
        <w:rPr>
          <w:rFonts w:eastAsia="Calibri" w:cstheme="minorHAnsi"/>
          <w:b/>
          <w:sz w:val="28"/>
          <w:szCs w:val="28"/>
          <w:u w:val="single"/>
        </w:rPr>
        <w:t>S</w:t>
      </w:r>
      <w:r w:rsidR="00D11D48">
        <w:rPr>
          <w:rFonts w:eastAsia="Calibri" w:cstheme="minorHAnsi"/>
          <w:b/>
          <w:sz w:val="28"/>
          <w:szCs w:val="28"/>
          <w:u w:val="single"/>
        </w:rPr>
        <w:t>c</w:t>
      </w:r>
      <w:r w:rsidR="009159A8">
        <w:rPr>
          <w:rFonts w:eastAsia="Calibri" w:cstheme="minorHAnsi"/>
          <w:b/>
          <w:sz w:val="28"/>
          <w:szCs w:val="28"/>
          <w:u w:val="single"/>
        </w:rPr>
        <w:t>hedule</w:t>
      </w:r>
    </w:p>
    <w:p w:rsidR="00D11D48" w:rsidP="00EF686F" w:rsidRDefault="00F61BC9" w14:paraId="4CC4CC6B" w14:textId="152FFF03">
      <w:pPr>
        <w:pStyle w:val="TOC1"/>
        <w:tabs>
          <w:tab w:val="clear" w:pos="9639"/>
          <w:tab w:val="right" w:leader="dot" w:pos="9356"/>
        </w:tabs>
        <w:rPr>
          <w:rFonts w:eastAsiaTheme="minorEastAsia" w:cstheme="minorBidi"/>
          <w:caps w:val="0"/>
          <w:noProof/>
          <w:snapToGrid/>
          <w:kern w:val="2"/>
          <w:sz w:val="22"/>
          <w:szCs w:val="22"/>
          <w14:ligatures w14:val="standardContextual"/>
        </w:rPr>
      </w:pPr>
      <w:r>
        <w:fldChar w:fldCharType="begin"/>
      </w:r>
      <w:r>
        <w:instrText xml:space="preserve"> TOC \o "1-3" \h \z \u </w:instrText>
      </w:r>
      <w:r>
        <w:fldChar w:fldCharType="separate"/>
      </w:r>
      <w:hyperlink w:history="1" w:anchor="_Toc180415069">
        <w:r w:rsidRPr="00EC1C4A" w:rsidR="00D11D48">
          <w:rPr>
            <w:rStyle w:val="Hyperlink"/>
            <w:noProof/>
          </w:rPr>
          <w:t>A.</w:t>
        </w:r>
        <w:r w:rsidR="00D11D48">
          <w:rPr>
            <w:rFonts w:eastAsiaTheme="minorEastAsia" w:cstheme="minorBidi"/>
            <w:caps w:val="0"/>
            <w:noProof/>
            <w:snapToGrid/>
            <w:kern w:val="2"/>
            <w:sz w:val="22"/>
            <w:szCs w:val="22"/>
            <w14:ligatures w14:val="standardContextual"/>
          </w:rPr>
          <w:tab/>
        </w:r>
        <w:r w:rsidRPr="00EC1C4A" w:rsidR="00D11D48">
          <w:rPr>
            <w:rStyle w:val="Hyperlink"/>
            <w:noProof/>
          </w:rPr>
          <w:t>Company Records</w:t>
        </w:r>
        <w:r w:rsidR="00D11D48">
          <w:rPr>
            <w:noProof/>
            <w:webHidden/>
          </w:rPr>
          <w:tab/>
        </w:r>
        <w:r w:rsidR="00D11D48">
          <w:rPr>
            <w:noProof/>
            <w:webHidden/>
          </w:rPr>
          <w:fldChar w:fldCharType="begin"/>
        </w:r>
        <w:r w:rsidR="00D11D48">
          <w:rPr>
            <w:noProof/>
            <w:webHidden/>
          </w:rPr>
          <w:instrText xml:space="preserve"> PAGEREF _Toc180415069 \h </w:instrText>
        </w:r>
        <w:r w:rsidR="00D11D48">
          <w:rPr>
            <w:noProof/>
            <w:webHidden/>
          </w:rPr>
        </w:r>
        <w:r w:rsidR="00D11D48">
          <w:rPr>
            <w:noProof/>
            <w:webHidden/>
          </w:rPr>
          <w:fldChar w:fldCharType="separate"/>
        </w:r>
        <w:r w:rsidR="00D11D48">
          <w:rPr>
            <w:noProof/>
            <w:webHidden/>
          </w:rPr>
          <w:t>1</w:t>
        </w:r>
        <w:r w:rsidR="00D11D48">
          <w:rPr>
            <w:noProof/>
            <w:webHidden/>
          </w:rPr>
          <w:fldChar w:fldCharType="end"/>
        </w:r>
      </w:hyperlink>
    </w:p>
    <w:p w:rsidR="00D11D48" w:rsidP="00EF686F" w:rsidRDefault="00000000" w14:paraId="34E2F3FF" w14:textId="3C93F8C1">
      <w:pPr>
        <w:pStyle w:val="TOC1"/>
        <w:rPr>
          <w:rFonts w:eastAsiaTheme="minorEastAsia" w:cstheme="minorBidi"/>
          <w:caps w:val="0"/>
          <w:noProof/>
          <w:snapToGrid/>
          <w:kern w:val="2"/>
          <w:sz w:val="22"/>
          <w:szCs w:val="22"/>
          <w14:ligatures w14:val="standardContextual"/>
        </w:rPr>
      </w:pPr>
      <w:hyperlink w:history="1" w:anchor="_Toc180415070">
        <w:r w:rsidRPr="00EC1C4A" w:rsidR="00D11D48">
          <w:rPr>
            <w:rStyle w:val="Hyperlink"/>
            <w:noProof/>
          </w:rPr>
          <w:t>B.</w:t>
        </w:r>
        <w:r w:rsidR="00D11D48">
          <w:rPr>
            <w:rFonts w:eastAsiaTheme="minorEastAsia" w:cstheme="minorBidi"/>
            <w:caps w:val="0"/>
            <w:noProof/>
            <w:snapToGrid/>
            <w:kern w:val="2"/>
            <w:sz w:val="22"/>
            <w:szCs w:val="22"/>
            <w14:ligatures w14:val="standardContextual"/>
          </w:rPr>
          <w:tab/>
        </w:r>
        <w:r w:rsidRPr="00EC1C4A" w:rsidR="00D11D48">
          <w:rPr>
            <w:rStyle w:val="Hyperlink"/>
            <w:noProof/>
          </w:rPr>
          <w:t>Employee HR records</w:t>
        </w:r>
        <w:r w:rsidR="00D11D48">
          <w:rPr>
            <w:noProof/>
            <w:webHidden/>
          </w:rPr>
          <w:tab/>
        </w:r>
        <w:r w:rsidR="00D11D48">
          <w:rPr>
            <w:noProof/>
            <w:webHidden/>
          </w:rPr>
          <w:fldChar w:fldCharType="begin"/>
        </w:r>
        <w:r w:rsidR="00D11D48">
          <w:rPr>
            <w:noProof/>
            <w:webHidden/>
          </w:rPr>
          <w:instrText xml:space="preserve"> PAGEREF _Toc180415070 \h </w:instrText>
        </w:r>
        <w:r w:rsidR="00D11D48">
          <w:rPr>
            <w:noProof/>
            <w:webHidden/>
          </w:rPr>
        </w:r>
        <w:r w:rsidR="00D11D48">
          <w:rPr>
            <w:noProof/>
            <w:webHidden/>
          </w:rPr>
          <w:fldChar w:fldCharType="separate"/>
        </w:r>
        <w:r w:rsidR="00D11D48">
          <w:rPr>
            <w:noProof/>
            <w:webHidden/>
          </w:rPr>
          <w:t>3</w:t>
        </w:r>
        <w:r w:rsidR="00D11D48">
          <w:rPr>
            <w:noProof/>
            <w:webHidden/>
          </w:rPr>
          <w:fldChar w:fldCharType="end"/>
        </w:r>
      </w:hyperlink>
    </w:p>
    <w:p w:rsidR="00D11D48" w:rsidP="00EF686F" w:rsidRDefault="00000000" w14:paraId="01B75049" w14:textId="3461C36F">
      <w:pPr>
        <w:pStyle w:val="TOC1"/>
        <w:rPr>
          <w:rFonts w:eastAsiaTheme="minorEastAsia" w:cstheme="minorBidi"/>
          <w:caps w:val="0"/>
          <w:noProof/>
          <w:snapToGrid/>
          <w:kern w:val="2"/>
          <w:sz w:val="22"/>
          <w:szCs w:val="22"/>
          <w14:ligatures w14:val="standardContextual"/>
        </w:rPr>
      </w:pPr>
      <w:hyperlink w:history="1" w:anchor="_Toc180415071">
        <w:r w:rsidRPr="00EC1C4A" w:rsidR="00D11D48">
          <w:rPr>
            <w:rStyle w:val="Hyperlink"/>
            <w:noProof/>
          </w:rPr>
          <w:t>C.</w:t>
        </w:r>
        <w:r w:rsidR="00D11D48">
          <w:rPr>
            <w:rFonts w:eastAsiaTheme="minorEastAsia" w:cstheme="minorBidi"/>
            <w:caps w:val="0"/>
            <w:noProof/>
            <w:snapToGrid/>
            <w:kern w:val="2"/>
            <w:sz w:val="22"/>
            <w:szCs w:val="22"/>
            <w14:ligatures w14:val="standardContextual"/>
          </w:rPr>
          <w:tab/>
        </w:r>
        <w:r w:rsidRPr="00EC1C4A" w:rsidR="00D11D48">
          <w:rPr>
            <w:rStyle w:val="Hyperlink"/>
            <w:noProof/>
          </w:rPr>
          <w:t>Finance</w:t>
        </w:r>
        <w:r w:rsidR="00D11D48">
          <w:rPr>
            <w:noProof/>
            <w:webHidden/>
          </w:rPr>
          <w:tab/>
        </w:r>
        <w:r w:rsidR="00D11D48">
          <w:rPr>
            <w:noProof/>
            <w:webHidden/>
          </w:rPr>
          <w:fldChar w:fldCharType="begin"/>
        </w:r>
        <w:r w:rsidR="00D11D48">
          <w:rPr>
            <w:noProof/>
            <w:webHidden/>
          </w:rPr>
          <w:instrText xml:space="preserve"> PAGEREF _Toc180415071 \h </w:instrText>
        </w:r>
        <w:r w:rsidR="00D11D48">
          <w:rPr>
            <w:noProof/>
            <w:webHidden/>
          </w:rPr>
        </w:r>
        <w:r w:rsidR="00D11D48">
          <w:rPr>
            <w:noProof/>
            <w:webHidden/>
          </w:rPr>
          <w:fldChar w:fldCharType="separate"/>
        </w:r>
        <w:r w:rsidR="00D11D48">
          <w:rPr>
            <w:noProof/>
            <w:webHidden/>
          </w:rPr>
          <w:t>5</w:t>
        </w:r>
        <w:r w:rsidR="00D11D48">
          <w:rPr>
            <w:noProof/>
            <w:webHidden/>
          </w:rPr>
          <w:fldChar w:fldCharType="end"/>
        </w:r>
      </w:hyperlink>
    </w:p>
    <w:p w:rsidR="00D11D48" w:rsidP="00EF686F" w:rsidRDefault="00000000" w14:paraId="708FC168" w14:textId="0A7C0407">
      <w:pPr>
        <w:pStyle w:val="TOC1"/>
        <w:rPr>
          <w:rFonts w:eastAsiaTheme="minorEastAsia" w:cstheme="minorBidi"/>
          <w:caps w:val="0"/>
          <w:noProof/>
          <w:snapToGrid/>
          <w:kern w:val="2"/>
          <w:sz w:val="22"/>
          <w:szCs w:val="22"/>
          <w14:ligatures w14:val="standardContextual"/>
        </w:rPr>
      </w:pPr>
      <w:hyperlink w:history="1" w:anchor="_Toc180415072">
        <w:r w:rsidRPr="00EC1C4A" w:rsidR="00D11D48">
          <w:rPr>
            <w:rStyle w:val="Hyperlink"/>
            <w:noProof/>
          </w:rPr>
          <w:t>D.</w:t>
        </w:r>
        <w:r w:rsidR="00D11D48">
          <w:rPr>
            <w:rFonts w:eastAsiaTheme="minorEastAsia" w:cstheme="minorBidi"/>
            <w:caps w:val="0"/>
            <w:noProof/>
            <w:snapToGrid/>
            <w:kern w:val="2"/>
            <w:sz w:val="22"/>
            <w:szCs w:val="22"/>
            <w14:ligatures w14:val="standardContextual"/>
          </w:rPr>
          <w:tab/>
        </w:r>
        <w:r w:rsidRPr="00EC1C4A" w:rsidR="00D11D48">
          <w:rPr>
            <w:rStyle w:val="Hyperlink"/>
            <w:noProof/>
          </w:rPr>
          <w:t>Payroll</w:t>
        </w:r>
        <w:r w:rsidR="00D11D48">
          <w:rPr>
            <w:noProof/>
            <w:webHidden/>
          </w:rPr>
          <w:tab/>
        </w:r>
        <w:r w:rsidR="00D11D48">
          <w:rPr>
            <w:noProof/>
            <w:webHidden/>
          </w:rPr>
          <w:fldChar w:fldCharType="begin"/>
        </w:r>
        <w:r w:rsidR="00D11D48">
          <w:rPr>
            <w:noProof/>
            <w:webHidden/>
          </w:rPr>
          <w:instrText xml:space="preserve"> PAGEREF _Toc180415072 \h </w:instrText>
        </w:r>
        <w:r w:rsidR="00D11D48">
          <w:rPr>
            <w:noProof/>
            <w:webHidden/>
          </w:rPr>
        </w:r>
        <w:r w:rsidR="00D11D48">
          <w:rPr>
            <w:noProof/>
            <w:webHidden/>
          </w:rPr>
          <w:fldChar w:fldCharType="separate"/>
        </w:r>
        <w:r w:rsidR="00D11D48">
          <w:rPr>
            <w:noProof/>
            <w:webHidden/>
          </w:rPr>
          <w:t>7</w:t>
        </w:r>
        <w:r w:rsidR="00D11D48">
          <w:rPr>
            <w:noProof/>
            <w:webHidden/>
          </w:rPr>
          <w:fldChar w:fldCharType="end"/>
        </w:r>
      </w:hyperlink>
    </w:p>
    <w:p w:rsidR="00D11D48" w:rsidP="00EF686F" w:rsidRDefault="00000000" w14:paraId="55FB9829" w14:textId="380EF9EB">
      <w:pPr>
        <w:pStyle w:val="TOC1"/>
        <w:rPr>
          <w:rFonts w:eastAsiaTheme="minorEastAsia" w:cstheme="minorBidi"/>
          <w:caps w:val="0"/>
          <w:noProof/>
          <w:snapToGrid/>
          <w:kern w:val="2"/>
          <w:sz w:val="22"/>
          <w:szCs w:val="22"/>
          <w14:ligatures w14:val="standardContextual"/>
        </w:rPr>
      </w:pPr>
      <w:hyperlink w:history="1" w:anchor="_Toc180415073">
        <w:r w:rsidRPr="00EC1C4A" w:rsidR="00D11D48">
          <w:rPr>
            <w:rStyle w:val="Hyperlink"/>
            <w:noProof/>
          </w:rPr>
          <w:t>E.</w:t>
        </w:r>
        <w:r w:rsidR="00D11D48">
          <w:rPr>
            <w:rFonts w:eastAsiaTheme="minorEastAsia" w:cstheme="minorBidi"/>
            <w:caps w:val="0"/>
            <w:noProof/>
            <w:snapToGrid/>
            <w:kern w:val="2"/>
            <w:sz w:val="22"/>
            <w:szCs w:val="22"/>
            <w14:ligatures w14:val="standardContextual"/>
          </w:rPr>
          <w:tab/>
        </w:r>
        <w:r w:rsidRPr="00EC1C4A" w:rsidR="00D11D48">
          <w:rPr>
            <w:rStyle w:val="Hyperlink"/>
            <w:noProof/>
          </w:rPr>
          <w:t>Marketing and Customers</w:t>
        </w:r>
        <w:r w:rsidR="00D11D48">
          <w:rPr>
            <w:noProof/>
            <w:webHidden/>
          </w:rPr>
          <w:tab/>
        </w:r>
        <w:r w:rsidR="00D11D48">
          <w:rPr>
            <w:noProof/>
            <w:webHidden/>
          </w:rPr>
          <w:fldChar w:fldCharType="begin"/>
        </w:r>
        <w:r w:rsidR="00D11D48">
          <w:rPr>
            <w:noProof/>
            <w:webHidden/>
          </w:rPr>
          <w:instrText xml:space="preserve"> PAGEREF _Toc180415073 \h </w:instrText>
        </w:r>
        <w:r w:rsidR="00D11D48">
          <w:rPr>
            <w:noProof/>
            <w:webHidden/>
          </w:rPr>
        </w:r>
        <w:r w:rsidR="00D11D48">
          <w:rPr>
            <w:noProof/>
            <w:webHidden/>
          </w:rPr>
          <w:fldChar w:fldCharType="separate"/>
        </w:r>
        <w:r w:rsidR="00D11D48">
          <w:rPr>
            <w:noProof/>
            <w:webHidden/>
          </w:rPr>
          <w:t>8</w:t>
        </w:r>
        <w:r w:rsidR="00D11D48">
          <w:rPr>
            <w:noProof/>
            <w:webHidden/>
          </w:rPr>
          <w:fldChar w:fldCharType="end"/>
        </w:r>
      </w:hyperlink>
    </w:p>
    <w:p w:rsidR="00D11D48" w:rsidP="00EF686F" w:rsidRDefault="00000000" w14:paraId="30094486" w14:textId="1E5CB2DA">
      <w:pPr>
        <w:pStyle w:val="TOC1"/>
        <w:rPr>
          <w:rFonts w:eastAsiaTheme="minorEastAsia" w:cstheme="minorBidi"/>
          <w:caps w:val="0"/>
          <w:noProof/>
          <w:snapToGrid/>
          <w:kern w:val="2"/>
          <w:sz w:val="22"/>
          <w:szCs w:val="22"/>
          <w14:ligatures w14:val="standardContextual"/>
        </w:rPr>
      </w:pPr>
      <w:hyperlink w:history="1" w:anchor="_Toc180415074">
        <w:r w:rsidRPr="00EC1C4A" w:rsidR="00D11D48">
          <w:rPr>
            <w:rStyle w:val="Hyperlink"/>
            <w:noProof/>
          </w:rPr>
          <w:t>F.</w:t>
        </w:r>
        <w:r w:rsidR="00D11D48">
          <w:rPr>
            <w:rFonts w:eastAsiaTheme="minorEastAsia" w:cstheme="minorBidi"/>
            <w:caps w:val="0"/>
            <w:noProof/>
            <w:snapToGrid/>
            <w:kern w:val="2"/>
            <w:sz w:val="22"/>
            <w:szCs w:val="22"/>
            <w14:ligatures w14:val="standardContextual"/>
          </w:rPr>
          <w:tab/>
        </w:r>
        <w:r w:rsidRPr="00EC1C4A" w:rsidR="00D11D48">
          <w:rPr>
            <w:rStyle w:val="Hyperlink"/>
            <w:noProof/>
          </w:rPr>
          <w:t>Health and safety and environmental records</w:t>
        </w:r>
        <w:r w:rsidR="00D11D48">
          <w:rPr>
            <w:noProof/>
            <w:webHidden/>
          </w:rPr>
          <w:tab/>
        </w:r>
        <w:r w:rsidR="00D11D48">
          <w:rPr>
            <w:noProof/>
            <w:webHidden/>
          </w:rPr>
          <w:fldChar w:fldCharType="begin"/>
        </w:r>
        <w:r w:rsidR="00D11D48">
          <w:rPr>
            <w:noProof/>
            <w:webHidden/>
          </w:rPr>
          <w:instrText xml:space="preserve"> PAGEREF _Toc180415074 \h </w:instrText>
        </w:r>
        <w:r w:rsidR="00D11D48">
          <w:rPr>
            <w:noProof/>
            <w:webHidden/>
          </w:rPr>
        </w:r>
        <w:r w:rsidR="00D11D48">
          <w:rPr>
            <w:noProof/>
            <w:webHidden/>
          </w:rPr>
          <w:fldChar w:fldCharType="separate"/>
        </w:r>
        <w:r w:rsidR="00D11D48">
          <w:rPr>
            <w:noProof/>
            <w:webHidden/>
          </w:rPr>
          <w:t>10</w:t>
        </w:r>
        <w:r w:rsidR="00D11D48">
          <w:rPr>
            <w:noProof/>
            <w:webHidden/>
          </w:rPr>
          <w:fldChar w:fldCharType="end"/>
        </w:r>
      </w:hyperlink>
    </w:p>
    <w:p w:rsidR="00D11D48" w:rsidP="00EF686F" w:rsidRDefault="00000000" w14:paraId="6E96842C" w14:textId="2F275C8D">
      <w:pPr>
        <w:pStyle w:val="TOC1"/>
        <w:rPr>
          <w:rFonts w:eastAsiaTheme="minorEastAsia" w:cstheme="minorBidi"/>
          <w:caps w:val="0"/>
          <w:noProof/>
          <w:snapToGrid/>
          <w:kern w:val="2"/>
          <w:sz w:val="22"/>
          <w:szCs w:val="22"/>
          <w14:ligatures w14:val="standardContextual"/>
        </w:rPr>
      </w:pPr>
      <w:hyperlink w:history="1" w:anchor="_Toc180415075">
        <w:r w:rsidRPr="00EC1C4A" w:rsidR="00D11D48">
          <w:rPr>
            <w:rStyle w:val="Hyperlink"/>
            <w:noProof/>
          </w:rPr>
          <w:t>G.</w:t>
        </w:r>
        <w:r w:rsidR="00D11D48">
          <w:rPr>
            <w:rFonts w:eastAsiaTheme="minorEastAsia" w:cstheme="minorBidi"/>
            <w:caps w:val="0"/>
            <w:noProof/>
            <w:snapToGrid/>
            <w:kern w:val="2"/>
            <w:sz w:val="22"/>
            <w:szCs w:val="22"/>
            <w14:ligatures w14:val="standardContextual"/>
          </w:rPr>
          <w:tab/>
        </w:r>
        <w:r w:rsidRPr="00EC1C4A" w:rsidR="00D11D48">
          <w:rPr>
            <w:rStyle w:val="Hyperlink"/>
            <w:noProof/>
          </w:rPr>
          <w:t>Insurance Records</w:t>
        </w:r>
        <w:r w:rsidR="00D11D48">
          <w:rPr>
            <w:noProof/>
            <w:webHidden/>
          </w:rPr>
          <w:tab/>
        </w:r>
        <w:r w:rsidR="00D11D48">
          <w:rPr>
            <w:noProof/>
            <w:webHidden/>
          </w:rPr>
          <w:fldChar w:fldCharType="begin"/>
        </w:r>
        <w:r w:rsidR="00D11D48">
          <w:rPr>
            <w:noProof/>
            <w:webHidden/>
          </w:rPr>
          <w:instrText xml:space="preserve"> PAGEREF _Toc180415075 \h </w:instrText>
        </w:r>
        <w:r w:rsidR="00D11D48">
          <w:rPr>
            <w:noProof/>
            <w:webHidden/>
          </w:rPr>
        </w:r>
        <w:r w:rsidR="00D11D48">
          <w:rPr>
            <w:noProof/>
            <w:webHidden/>
          </w:rPr>
          <w:fldChar w:fldCharType="separate"/>
        </w:r>
        <w:r w:rsidR="00D11D48">
          <w:rPr>
            <w:noProof/>
            <w:webHidden/>
          </w:rPr>
          <w:t>12</w:t>
        </w:r>
        <w:r w:rsidR="00D11D48">
          <w:rPr>
            <w:noProof/>
            <w:webHidden/>
          </w:rPr>
          <w:fldChar w:fldCharType="end"/>
        </w:r>
      </w:hyperlink>
    </w:p>
    <w:p w:rsidR="00D11D48" w:rsidP="00EF686F" w:rsidRDefault="00000000" w14:paraId="1F596E5E" w14:textId="08037A83">
      <w:pPr>
        <w:pStyle w:val="TOC1"/>
        <w:rPr>
          <w:rFonts w:eastAsiaTheme="minorEastAsia" w:cstheme="minorBidi"/>
          <w:caps w:val="0"/>
          <w:noProof/>
          <w:snapToGrid/>
          <w:kern w:val="2"/>
          <w:sz w:val="22"/>
          <w:szCs w:val="22"/>
          <w14:ligatures w14:val="standardContextual"/>
        </w:rPr>
      </w:pPr>
      <w:hyperlink w:history="1" w:anchor="_Toc180415076">
        <w:r w:rsidRPr="00EC1C4A" w:rsidR="00D11D48">
          <w:rPr>
            <w:rStyle w:val="Hyperlink"/>
            <w:b/>
            <w:bCs/>
            <w:noProof/>
          </w:rPr>
          <w:t>H.</w:t>
        </w:r>
        <w:r w:rsidR="00D11D48">
          <w:rPr>
            <w:rFonts w:eastAsiaTheme="minorEastAsia" w:cstheme="minorBidi"/>
            <w:caps w:val="0"/>
            <w:noProof/>
            <w:snapToGrid/>
            <w:kern w:val="2"/>
            <w:sz w:val="22"/>
            <w:szCs w:val="22"/>
            <w14:ligatures w14:val="standardContextual"/>
          </w:rPr>
          <w:tab/>
        </w:r>
        <w:r w:rsidRPr="00EC1C4A" w:rsidR="00D11D48">
          <w:rPr>
            <w:rStyle w:val="Hyperlink"/>
            <w:noProof/>
          </w:rPr>
          <w:t>Miscellaneous</w:t>
        </w:r>
        <w:r w:rsidR="00D11D48">
          <w:rPr>
            <w:noProof/>
            <w:webHidden/>
          </w:rPr>
          <w:tab/>
        </w:r>
        <w:r w:rsidR="00D11D48">
          <w:rPr>
            <w:noProof/>
            <w:webHidden/>
          </w:rPr>
          <w:fldChar w:fldCharType="begin"/>
        </w:r>
        <w:r w:rsidR="00D11D48">
          <w:rPr>
            <w:noProof/>
            <w:webHidden/>
          </w:rPr>
          <w:instrText xml:space="preserve"> PAGEREF _Toc180415076 \h </w:instrText>
        </w:r>
        <w:r w:rsidR="00D11D48">
          <w:rPr>
            <w:noProof/>
            <w:webHidden/>
          </w:rPr>
        </w:r>
        <w:r w:rsidR="00D11D48">
          <w:rPr>
            <w:noProof/>
            <w:webHidden/>
          </w:rPr>
          <w:fldChar w:fldCharType="separate"/>
        </w:r>
        <w:r w:rsidR="00D11D48">
          <w:rPr>
            <w:noProof/>
            <w:webHidden/>
          </w:rPr>
          <w:t>14</w:t>
        </w:r>
        <w:r w:rsidR="00D11D48">
          <w:rPr>
            <w:noProof/>
            <w:webHidden/>
          </w:rPr>
          <w:fldChar w:fldCharType="end"/>
        </w:r>
      </w:hyperlink>
    </w:p>
    <w:p w:rsidRPr="00851055" w:rsidR="00851055" w:rsidP="00EF686F" w:rsidRDefault="00F61BC9" w14:paraId="71E2830B" w14:textId="44EBD2A8">
      <w:pPr>
        <w:pStyle w:val="Appendix1"/>
      </w:pPr>
      <w:r>
        <w:rPr>
          <w:rFonts w:asciiTheme="minorHAnsi" w:hAnsiTheme="minorHAnsi"/>
          <w:sz w:val="24"/>
          <w:szCs w:val="20"/>
        </w:rPr>
        <w:fldChar w:fldCharType="end"/>
      </w:r>
      <w:bookmarkStart w:name="_Toc180415069" w:id="0"/>
      <w:r w:rsidR="00851055">
        <w:t>Company Records</w:t>
      </w:r>
      <w:bookmarkEnd w:id="0"/>
    </w:p>
    <w:tbl>
      <w:tblPr>
        <w:tblW w:w="104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689"/>
        <w:gridCol w:w="4819"/>
        <w:gridCol w:w="2922"/>
      </w:tblGrid>
      <w:tr w:rsidRPr="00851055" w:rsidR="00851055" w:rsidTr="5D1D556F" w14:paraId="4F004829" w14:textId="77777777">
        <w:trPr>
          <w:trHeight w:val="540"/>
        </w:trPr>
        <w:tc>
          <w:tcPr>
            <w:tcW w:w="2689" w:type="dxa"/>
            <w:shd w:val="clear" w:color="auto" w:fill="8DB3E2" w:themeFill="text2" w:themeFillTint="66"/>
            <w:vAlign w:val="center"/>
          </w:tcPr>
          <w:p w:rsidRPr="00851055" w:rsidR="00851055" w:rsidP="00851055" w:rsidRDefault="00851055" w14:paraId="19CA382E" w14:textId="77777777">
            <w:pPr>
              <w:jc w:val="center"/>
              <w:rPr>
                <w:rFonts w:ascii="Calibri" w:hAnsi="Calibri" w:eastAsia="Calibri" w:cs="Calibri"/>
                <w:b/>
                <w:szCs w:val="24"/>
              </w:rPr>
            </w:pPr>
            <w:r w:rsidRPr="00851055">
              <w:rPr>
                <w:rFonts w:ascii="Calibri" w:hAnsi="Calibri" w:eastAsia="Calibri" w:cs="Calibri"/>
                <w:b/>
                <w:szCs w:val="24"/>
              </w:rPr>
              <w:t>Type of Material</w:t>
            </w:r>
          </w:p>
        </w:tc>
        <w:tc>
          <w:tcPr>
            <w:tcW w:w="4819" w:type="dxa"/>
            <w:shd w:val="clear" w:color="auto" w:fill="8DB3E2" w:themeFill="text2" w:themeFillTint="66"/>
            <w:vAlign w:val="center"/>
          </w:tcPr>
          <w:p w:rsidRPr="00851055" w:rsidR="00851055" w:rsidP="00851055" w:rsidRDefault="00851055" w14:paraId="7DDA07DC" w14:textId="77777777">
            <w:pPr>
              <w:jc w:val="center"/>
              <w:rPr>
                <w:rFonts w:ascii="Calibri" w:hAnsi="Calibri" w:eastAsia="Calibri" w:cs="Calibri"/>
                <w:b/>
                <w:szCs w:val="24"/>
              </w:rPr>
            </w:pPr>
            <w:r w:rsidRPr="00851055">
              <w:rPr>
                <w:rFonts w:ascii="Calibri" w:hAnsi="Calibri" w:eastAsia="Calibri" w:cs="Calibri"/>
                <w:b/>
                <w:szCs w:val="24"/>
              </w:rPr>
              <w:t>Minimum Retention Period</w:t>
            </w:r>
          </w:p>
        </w:tc>
        <w:tc>
          <w:tcPr>
            <w:tcW w:w="2922" w:type="dxa"/>
            <w:shd w:val="clear" w:color="auto" w:fill="8DB3E2" w:themeFill="text2" w:themeFillTint="66"/>
            <w:vAlign w:val="center"/>
          </w:tcPr>
          <w:p w:rsidRPr="00851055" w:rsidR="00851055" w:rsidP="00851055" w:rsidRDefault="00851055" w14:paraId="306C8A3E" w14:textId="77777777">
            <w:pPr>
              <w:jc w:val="center"/>
              <w:rPr>
                <w:rFonts w:ascii="Calibri" w:hAnsi="Calibri" w:eastAsia="Calibri" w:cs="Calibri"/>
                <w:b/>
                <w:szCs w:val="24"/>
              </w:rPr>
            </w:pPr>
            <w:r w:rsidRPr="00851055">
              <w:rPr>
                <w:rFonts w:ascii="Calibri" w:hAnsi="Calibri" w:eastAsia="Calibri" w:cs="Calibri"/>
                <w:b/>
                <w:szCs w:val="24"/>
              </w:rPr>
              <w:t>Reason</w:t>
            </w:r>
          </w:p>
        </w:tc>
      </w:tr>
      <w:tr w:rsidRPr="00851055" w:rsidR="00851055" w:rsidTr="5D1D556F" w14:paraId="5AA2E7EE" w14:textId="77777777">
        <w:trPr>
          <w:trHeight w:val="1995"/>
        </w:trPr>
        <w:tc>
          <w:tcPr>
            <w:tcW w:w="2689" w:type="dxa"/>
            <w:shd w:val="clear" w:color="auto" w:fill="auto"/>
          </w:tcPr>
          <w:p w:rsidRPr="00851055" w:rsidR="00851055" w:rsidP="5D1D556F" w:rsidRDefault="7674D37A" w14:paraId="6E15AADB" w14:textId="50D9404B">
            <w:pPr>
              <w:pStyle w:val="TableParagraph"/>
              <w:rPr>
                <w:rFonts w:cstheme="minorBidi"/>
                <w:sz w:val="24"/>
                <w:szCs w:val="24"/>
              </w:rPr>
            </w:pPr>
            <w:r w:rsidRPr="5D1D556F">
              <w:rPr>
                <w:sz w:val="24"/>
                <w:szCs w:val="24"/>
              </w:rPr>
              <w:t>Register of members</w:t>
            </w:r>
          </w:p>
        </w:tc>
        <w:tc>
          <w:tcPr>
            <w:tcW w:w="4819" w:type="dxa"/>
            <w:tcBorders>
              <w:right w:val="nil"/>
            </w:tcBorders>
            <w:shd w:val="clear" w:color="auto" w:fill="auto"/>
          </w:tcPr>
          <w:p w:rsidRPr="00851055" w:rsidR="00851055" w:rsidP="5D1D556F" w:rsidRDefault="7674D37A" w14:paraId="0106135D" w14:textId="77777777">
            <w:pPr>
              <w:pStyle w:val="TableParagraph"/>
              <w:rPr>
                <w:sz w:val="24"/>
                <w:szCs w:val="24"/>
              </w:rPr>
            </w:pPr>
            <w:r w:rsidRPr="5D1D556F">
              <w:rPr>
                <w:sz w:val="24"/>
                <w:szCs w:val="24"/>
              </w:rPr>
              <w:t>You can remove entries added on or after 6 April 2008 from the register 10 years after the person stops being a member (section 121 CA 2006).</w:t>
            </w:r>
          </w:p>
          <w:p w:rsidRPr="00851055" w:rsidR="00851055" w:rsidP="5D1D556F" w:rsidRDefault="7674D37A" w14:paraId="50487B09" w14:textId="2B75DEF4">
            <w:pPr>
              <w:pStyle w:val="TableParagraph"/>
              <w:rPr>
                <w:rFonts w:cstheme="minorBidi"/>
                <w:sz w:val="24"/>
                <w:szCs w:val="24"/>
              </w:rPr>
            </w:pPr>
            <w:r w:rsidRPr="5D1D556F">
              <w:rPr>
                <w:sz w:val="24"/>
                <w:szCs w:val="24"/>
              </w:rPr>
              <w:t>You must keep entries made before 6 April 2008 for 20 years after the person stops being a</w:t>
            </w:r>
            <w:r w:rsidRPr="5D1D556F" w:rsidR="1B418A53">
              <w:rPr>
                <w:sz w:val="24"/>
                <w:szCs w:val="24"/>
              </w:rPr>
              <w:t xml:space="preserve"> </w:t>
            </w:r>
            <w:r w:rsidRPr="5D1D556F">
              <w:rPr>
                <w:sz w:val="24"/>
                <w:szCs w:val="24"/>
              </w:rPr>
              <w:t>member (schedule 4, paragraph 2 Fifth CA 2006</w:t>
            </w:r>
            <w:r w:rsidRPr="5D1D556F" w:rsidR="5015BFED">
              <w:rPr>
                <w:sz w:val="24"/>
                <w:szCs w:val="24"/>
              </w:rPr>
              <w:t xml:space="preserve"> </w:t>
            </w:r>
            <w:r w:rsidRPr="5D1D556F">
              <w:rPr>
                <w:sz w:val="24"/>
                <w:szCs w:val="24"/>
              </w:rPr>
              <w:t>Commencement Order).</w:t>
            </w:r>
          </w:p>
        </w:tc>
        <w:tc>
          <w:tcPr>
            <w:tcW w:w="2922" w:type="dxa"/>
            <w:shd w:val="clear" w:color="auto" w:fill="auto"/>
          </w:tcPr>
          <w:p w:rsidRPr="00851055" w:rsidR="00851055" w:rsidP="5D1D556F" w:rsidRDefault="7674D37A" w14:paraId="07A4DC45" w14:textId="67BCF751">
            <w:pPr>
              <w:pStyle w:val="TableParagraph"/>
              <w:rPr>
                <w:rFonts w:cstheme="minorBidi"/>
                <w:sz w:val="24"/>
                <w:szCs w:val="24"/>
              </w:rPr>
            </w:pPr>
            <w:r w:rsidRPr="5D1D556F">
              <w:rPr>
                <w:sz w:val="24"/>
                <w:szCs w:val="24"/>
              </w:rPr>
              <w:t>Companies Act 2006, Companies Act 1985</w:t>
            </w:r>
          </w:p>
        </w:tc>
      </w:tr>
      <w:tr w:rsidRPr="00851055" w:rsidR="00851055" w:rsidTr="5D1D556F" w14:paraId="42ED764D" w14:textId="77777777">
        <w:trPr>
          <w:trHeight w:val="540"/>
        </w:trPr>
        <w:tc>
          <w:tcPr>
            <w:tcW w:w="2689" w:type="dxa"/>
            <w:shd w:val="clear" w:color="auto" w:fill="auto"/>
          </w:tcPr>
          <w:p w:rsidRPr="00851055" w:rsidR="00851055" w:rsidP="5D1D556F" w:rsidRDefault="7674D37A" w14:paraId="36A87D63" w14:textId="39846373">
            <w:pPr>
              <w:pStyle w:val="TableParagraph"/>
              <w:rPr>
                <w:rFonts w:cstheme="minorBidi"/>
                <w:sz w:val="24"/>
                <w:szCs w:val="24"/>
              </w:rPr>
            </w:pPr>
            <w:r w:rsidRPr="5D1D556F">
              <w:rPr>
                <w:sz w:val="24"/>
                <w:szCs w:val="24"/>
              </w:rPr>
              <w:t>Register of directors’ residential addresses</w:t>
            </w:r>
          </w:p>
        </w:tc>
        <w:tc>
          <w:tcPr>
            <w:tcW w:w="4819" w:type="dxa"/>
            <w:tcBorders>
              <w:right w:val="nil"/>
            </w:tcBorders>
            <w:shd w:val="clear" w:color="auto" w:fill="auto"/>
          </w:tcPr>
          <w:p w:rsidRPr="00851055" w:rsidR="00851055" w:rsidP="5D1D556F" w:rsidRDefault="7674D37A" w14:paraId="78DF1654" w14:textId="71D339FA">
            <w:pPr>
              <w:pStyle w:val="TableParagraph"/>
              <w:rPr>
                <w:rFonts w:cstheme="minorBidi"/>
                <w:sz w:val="24"/>
                <w:szCs w:val="24"/>
              </w:rPr>
            </w:pPr>
            <w:r w:rsidRPr="5D1D556F">
              <w:rPr>
                <w:sz w:val="24"/>
                <w:szCs w:val="24"/>
              </w:rPr>
              <w:t>You must keep this register for the life of the company (Section 162 CA 2006) and there is no provision to remove entries of former directors. Note: you cannot make this register available for public inspection.</w:t>
            </w:r>
          </w:p>
        </w:tc>
        <w:tc>
          <w:tcPr>
            <w:tcW w:w="2922" w:type="dxa"/>
            <w:shd w:val="clear" w:color="auto" w:fill="auto"/>
          </w:tcPr>
          <w:p w:rsidRPr="00851055" w:rsidR="00851055" w:rsidP="5D1D556F" w:rsidRDefault="7674D37A" w14:paraId="21688CC7" w14:textId="7E18E40F">
            <w:pPr>
              <w:pStyle w:val="TableParagraph"/>
              <w:rPr>
                <w:rFonts w:cstheme="minorBidi"/>
                <w:sz w:val="24"/>
                <w:szCs w:val="24"/>
              </w:rPr>
            </w:pPr>
            <w:r w:rsidRPr="5D1D556F">
              <w:rPr>
                <w:sz w:val="24"/>
                <w:szCs w:val="24"/>
              </w:rPr>
              <w:t>Companies Act 2006, Companies Act 1985</w:t>
            </w:r>
          </w:p>
        </w:tc>
      </w:tr>
      <w:tr w:rsidRPr="00851055" w:rsidR="00851055" w:rsidTr="5D1D556F" w14:paraId="1D4B8091" w14:textId="77777777">
        <w:trPr>
          <w:trHeight w:val="420"/>
        </w:trPr>
        <w:tc>
          <w:tcPr>
            <w:tcW w:w="2689" w:type="dxa"/>
            <w:shd w:val="clear" w:color="auto" w:fill="auto"/>
          </w:tcPr>
          <w:p w:rsidRPr="00851055" w:rsidR="00851055" w:rsidP="5D1D556F" w:rsidRDefault="7674D37A" w14:paraId="2AE030CE" w14:textId="26E80354">
            <w:pPr>
              <w:pStyle w:val="TableParagraph"/>
              <w:rPr>
                <w:rFonts w:cstheme="minorBidi"/>
                <w:sz w:val="24"/>
                <w:szCs w:val="24"/>
              </w:rPr>
            </w:pPr>
            <w:r w:rsidRPr="5D1D556F">
              <w:rPr>
                <w:sz w:val="24"/>
                <w:szCs w:val="24"/>
              </w:rPr>
              <w:t>Directors’ service contracts</w:t>
            </w:r>
          </w:p>
        </w:tc>
        <w:tc>
          <w:tcPr>
            <w:tcW w:w="4819" w:type="dxa"/>
            <w:tcBorders>
              <w:right w:val="nil"/>
            </w:tcBorders>
            <w:shd w:val="clear" w:color="auto" w:fill="auto"/>
          </w:tcPr>
          <w:p w:rsidRPr="00851055" w:rsidR="00851055" w:rsidP="5D1D556F" w:rsidRDefault="7674D37A" w14:paraId="4F641BEA" w14:textId="77777777">
            <w:pPr>
              <w:pStyle w:val="TableParagraph"/>
              <w:rPr>
                <w:sz w:val="24"/>
                <w:szCs w:val="24"/>
              </w:rPr>
            </w:pPr>
            <w:r w:rsidRPr="5D1D556F">
              <w:rPr>
                <w:sz w:val="24"/>
                <w:szCs w:val="24"/>
              </w:rPr>
              <w:t>You must keep a copy of the contract or a memorandum of its terms for at least one year from the expiry or termination date (Section 228 CA 2006).</w:t>
            </w:r>
          </w:p>
          <w:p w:rsidRPr="00851055" w:rsidR="00851055" w:rsidP="5D1D556F" w:rsidRDefault="7674D37A" w14:paraId="723EE401" w14:textId="4E8FAFA8">
            <w:pPr>
              <w:pStyle w:val="TableParagraph"/>
              <w:rPr>
                <w:rFonts w:cstheme="minorBidi"/>
                <w:sz w:val="24"/>
                <w:szCs w:val="24"/>
              </w:rPr>
            </w:pPr>
            <w:r w:rsidRPr="5D1D556F">
              <w:rPr>
                <w:sz w:val="24"/>
                <w:szCs w:val="24"/>
              </w:rPr>
              <w:t>However, it is advisable to keep the contract for up to six years following expiry for tax purposes and to account for the 6-year limitation period for contracts.</w:t>
            </w:r>
          </w:p>
        </w:tc>
        <w:tc>
          <w:tcPr>
            <w:tcW w:w="2922" w:type="dxa"/>
            <w:shd w:val="clear" w:color="auto" w:fill="auto"/>
          </w:tcPr>
          <w:p w:rsidRPr="00851055" w:rsidR="00851055" w:rsidP="5D1D556F" w:rsidRDefault="7674D37A" w14:paraId="71BDE6C8" w14:textId="6F21A237">
            <w:pPr>
              <w:pStyle w:val="TableParagraph"/>
              <w:rPr>
                <w:rFonts w:cstheme="minorBidi"/>
                <w:sz w:val="24"/>
                <w:szCs w:val="24"/>
              </w:rPr>
            </w:pPr>
            <w:r w:rsidRPr="5D1D556F">
              <w:rPr>
                <w:sz w:val="24"/>
                <w:szCs w:val="24"/>
              </w:rPr>
              <w:t>Companies Act 2006, Companies Act 1985</w:t>
            </w:r>
          </w:p>
        </w:tc>
      </w:tr>
      <w:tr w:rsidRPr="00851055" w:rsidR="00851055" w:rsidTr="00F326D3" w14:paraId="2E4B5142" w14:textId="77777777">
        <w:trPr>
          <w:trHeight w:val="760"/>
        </w:trPr>
        <w:tc>
          <w:tcPr>
            <w:tcW w:w="2689" w:type="dxa"/>
            <w:tcBorders>
              <w:bottom w:val="single" w:color="auto" w:sz="4" w:space="0"/>
            </w:tcBorders>
            <w:shd w:val="clear" w:color="auto" w:fill="auto"/>
          </w:tcPr>
          <w:p w:rsidRPr="00851055" w:rsidR="00851055" w:rsidP="5D1D556F" w:rsidRDefault="7674D37A" w14:paraId="74900287" w14:textId="2DD46B1C">
            <w:pPr>
              <w:pStyle w:val="TableParagraph"/>
              <w:rPr>
                <w:rFonts w:cstheme="minorBidi"/>
                <w:sz w:val="24"/>
                <w:szCs w:val="24"/>
              </w:rPr>
            </w:pPr>
            <w:r w:rsidRPr="5D1D556F">
              <w:rPr>
                <w:sz w:val="24"/>
                <w:szCs w:val="24"/>
              </w:rPr>
              <w:t>Board minutes</w:t>
            </w:r>
          </w:p>
        </w:tc>
        <w:tc>
          <w:tcPr>
            <w:tcW w:w="4819" w:type="dxa"/>
            <w:tcBorders>
              <w:bottom w:val="single" w:color="auto" w:sz="4" w:space="0"/>
              <w:right w:val="nil"/>
            </w:tcBorders>
            <w:shd w:val="clear" w:color="auto" w:fill="auto"/>
          </w:tcPr>
          <w:p w:rsidRPr="00851055" w:rsidR="00851055" w:rsidP="5D1D556F" w:rsidRDefault="7674D37A" w14:paraId="79529D17" w14:textId="77777777">
            <w:pPr>
              <w:pStyle w:val="TableParagraph"/>
              <w:rPr>
                <w:sz w:val="24"/>
                <w:szCs w:val="24"/>
              </w:rPr>
            </w:pPr>
            <w:r w:rsidRPr="5D1D556F">
              <w:rPr>
                <w:sz w:val="24"/>
                <w:szCs w:val="24"/>
              </w:rPr>
              <w:t xml:space="preserve">For board meetings held on or after the 1 October 2007, you should keep copies of the minutes for 10 years from the date of the </w:t>
            </w:r>
            <w:r w:rsidRPr="5D1D556F">
              <w:rPr>
                <w:sz w:val="24"/>
                <w:szCs w:val="24"/>
              </w:rPr>
              <w:lastRenderedPageBreak/>
              <w:t xml:space="preserve">meeting (section 248 CA 2006). If the minutes contain personal data, you should not keep them for longer than the </w:t>
            </w:r>
            <w:proofErr w:type="gramStart"/>
            <w:r w:rsidRPr="5D1D556F">
              <w:rPr>
                <w:sz w:val="24"/>
                <w:szCs w:val="24"/>
              </w:rPr>
              <w:t>set</w:t>
            </w:r>
            <w:proofErr w:type="gramEnd"/>
          </w:p>
          <w:p w:rsidRPr="00851055" w:rsidR="00851055" w:rsidP="5D1D556F" w:rsidRDefault="7674D37A" w14:paraId="71616C1F" w14:textId="77777777">
            <w:pPr>
              <w:pStyle w:val="TableParagraph"/>
              <w:rPr>
                <w:sz w:val="24"/>
                <w:szCs w:val="24"/>
              </w:rPr>
            </w:pPr>
            <w:r w:rsidRPr="5D1D556F">
              <w:rPr>
                <w:sz w:val="24"/>
                <w:szCs w:val="24"/>
              </w:rPr>
              <w:t>10-year period unless they are still ‘necessary’ for the purposes for which the data is processed.</w:t>
            </w:r>
          </w:p>
          <w:p w:rsidRPr="00851055" w:rsidR="00851055" w:rsidP="5D1D556F" w:rsidRDefault="7674D37A" w14:paraId="53BDFCAA" w14:textId="417DC956">
            <w:pPr>
              <w:pStyle w:val="TableParagraph"/>
              <w:rPr>
                <w:rFonts w:cstheme="minorBidi"/>
                <w:sz w:val="24"/>
                <w:szCs w:val="24"/>
              </w:rPr>
            </w:pPr>
            <w:r w:rsidRPr="5D1D556F">
              <w:rPr>
                <w:sz w:val="24"/>
                <w:szCs w:val="24"/>
              </w:rPr>
              <w:t>For meetings held before 1 October 2007 you should keep the minutes permanently (section 382 Companies Act 1985).</w:t>
            </w:r>
          </w:p>
        </w:tc>
        <w:tc>
          <w:tcPr>
            <w:tcW w:w="2922" w:type="dxa"/>
            <w:tcBorders>
              <w:bottom w:val="single" w:color="auto" w:sz="4" w:space="0"/>
            </w:tcBorders>
            <w:shd w:val="clear" w:color="auto" w:fill="auto"/>
          </w:tcPr>
          <w:p w:rsidRPr="00851055" w:rsidR="00851055" w:rsidP="5D1D556F" w:rsidRDefault="7674D37A" w14:paraId="3A92D6E8" w14:textId="4E7C25D3">
            <w:pPr>
              <w:pStyle w:val="TableParagraph"/>
              <w:rPr>
                <w:rFonts w:cstheme="minorBidi"/>
                <w:sz w:val="24"/>
                <w:szCs w:val="24"/>
              </w:rPr>
            </w:pPr>
            <w:r w:rsidRPr="5D1D556F">
              <w:rPr>
                <w:sz w:val="24"/>
                <w:szCs w:val="24"/>
              </w:rPr>
              <w:lastRenderedPageBreak/>
              <w:t>Companies Act 2006, Companies Act 1985</w:t>
            </w:r>
          </w:p>
        </w:tc>
      </w:tr>
      <w:tr w:rsidRPr="00851055" w:rsidR="00851055" w:rsidTr="00F326D3" w14:paraId="78310080" w14:textId="77777777">
        <w:trPr>
          <w:trHeight w:val="180"/>
        </w:trPr>
        <w:tc>
          <w:tcPr>
            <w:tcW w:w="2689" w:type="dxa"/>
            <w:tcBorders>
              <w:top w:val="single" w:color="auto" w:sz="4" w:space="0"/>
              <w:left w:val="single" w:color="auto" w:sz="4" w:space="0"/>
              <w:bottom w:val="single" w:color="auto" w:sz="4" w:space="0"/>
              <w:right w:val="single" w:color="auto" w:sz="4" w:space="0"/>
            </w:tcBorders>
            <w:shd w:val="clear" w:color="auto" w:fill="auto"/>
          </w:tcPr>
          <w:p w:rsidRPr="00851055" w:rsidR="00851055" w:rsidP="5D1D556F" w:rsidRDefault="7674D37A" w14:paraId="1A7915B0" w14:textId="491DD07C">
            <w:pPr>
              <w:pStyle w:val="TableParagraph"/>
              <w:rPr>
                <w:rFonts w:cstheme="minorBidi"/>
                <w:sz w:val="24"/>
                <w:szCs w:val="24"/>
              </w:rPr>
            </w:pPr>
            <w:r w:rsidRPr="5D1D556F">
              <w:rPr>
                <w:sz w:val="24"/>
                <w:szCs w:val="24"/>
              </w:rPr>
              <w:t>Certificate of Incorporation and Memorandum of Association</w:t>
            </w:r>
          </w:p>
        </w:tc>
        <w:tc>
          <w:tcPr>
            <w:tcW w:w="4819" w:type="dxa"/>
            <w:tcBorders>
              <w:top w:val="single" w:color="auto" w:sz="4" w:space="0"/>
              <w:left w:val="single" w:color="auto" w:sz="4" w:space="0"/>
              <w:bottom w:val="single" w:color="auto" w:sz="4" w:space="0"/>
              <w:right w:val="single" w:color="auto" w:sz="4" w:space="0"/>
            </w:tcBorders>
            <w:shd w:val="clear" w:color="auto" w:fill="auto"/>
          </w:tcPr>
          <w:p w:rsidRPr="00851055" w:rsidR="00851055" w:rsidP="5D1D556F" w:rsidRDefault="7674D37A" w14:paraId="3241CA12" w14:textId="1B381C8B">
            <w:pPr>
              <w:pStyle w:val="TableParagraph"/>
              <w:rPr>
                <w:rFonts w:cstheme="minorBidi"/>
                <w:sz w:val="24"/>
                <w:szCs w:val="24"/>
              </w:rPr>
            </w:pPr>
            <w:r w:rsidRPr="5D1D556F">
              <w:rPr>
                <w:sz w:val="24"/>
                <w:szCs w:val="24"/>
              </w:rPr>
              <w:t>There is no legal requirement to keep the Certificate of Incorporation or the Memorandum of</w:t>
            </w:r>
            <w:r w:rsidRPr="5D1D556F" w:rsidR="537FD920">
              <w:rPr>
                <w:sz w:val="24"/>
                <w:szCs w:val="24"/>
              </w:rPr>
              <w:t xml:space="preserve"> </w:t>
            </w:r>
            <w:r w:rsidRPr="5D1D556F">
              <w:rPr>
                <w:sz w:val="24"/>
                <w:szCs w:val="24"/>
              </w:rPr>
              <w:t>Association. However, as these documents evidence the company’s compliance with the registration requirements of the CA 2006 (section 15 CA 2006), it may be wise to keep the original documents for the</w:t>
            </w:r>
            <w:r w:rsidRPr="5D1D556F" w:rsidR="692F0C38">
              <w:rPr>
                <w:sz w:val="24"/>
                <w:szCs w:val="24"/>
              </w:rPr>
              <w:t xml:space="preserve"> </w:t>
            </w:r>
            <w:r w:rsidRPr="5D1D556F">
              <w:rPr>
                <w:sz w:val="24"/>
                <w:szCs w:val="24"/>
              </w:rPr>
              <w:t>life of the company.</w:t>
            </w:r>
          </w:p>
        </w:tc>
        <w:tc>
          <w:tcPr>
            <w:tcW w:w="2922" w:type="dxa"/>
            <w:tcBorders>
              <w:top w:val="single" w:color="auto" w:sz="4" w:space="0"/>
              <w:left w:val="single" w:color="auto" w:sz="4" w:space="0"/>
              <w:bottom w:val="single" w:color="auto" w:sz="4" w:space="0"/>
              <w:right w:val="single" w:color="auto" w:sz="4" w:space="0"/>
            </w:tcBorders>
            <w:shd w:val="clear" w:color="auto" w:fill="auto"/>
          </w:tcPr>
          <w:p w:rsidRPr="00851055" w:rsidR="00851055" w:rsidP="5D1D556F" w:rsidRDefault="7674D37A" w14:paraId="20F1D2CF" w14:textId="42CBBCE9">
            <w:pPr>
              <w:pStyle w:val="TableParagraph"/>
              <w:rPr>
                <w:rFonts w:cstheme="minorBidi"/>
                <w:sz w:val="24"/>
                <w:szCs w:val="24"/>
              </w:rPr>
            </w:pPr>
            <w:r w:rsidRPr="5D1D556F">
              <w:rPr>
                <w:sz w:val="24"/>
                <w:szCs w:val="24"/>
              </w:rPr>
              <w:t>Companies Act 2006, Companies Act 1985</w:t>
            </w:r>
          </w:p>
        </w:tc>
      </w:tr>
    </w:tbl>
    <w:p w:rsidR="00851055" w:rsidP="00851055" w:rsidRDefault="00851055" w14:paraId="3C01FA8F" w14:textId="77777777">
      <w:pPr>
        <w:shd w:val="clear" w:color="auto" w:fill="FFFFFF"/>
        <w:ind w:right="-1150"/>
        <w:rPr>
          <w:rFonts w:ascii="Calibri" w:hAnsi="Calibri" w:eastAsia="Calibri" w:cs="Calibri"/>
          <w:b/>
        </w:rPr>
      </w:pPr>
    </w:p>
    <w:p w:rsidR="00A3768D" w:rsidRDefault="00A3768D" w14:paraId="59102454" w14:textId="19C84F00">
      <w:pPr>
        <w:pStyle w:val="Appendix1"/>
      </w:pPr>
      <w:bookmarkStart w:name="_Toc180415070" w:id="1"/>
      <w:bookmarkStart w:name="_Hlk137203328" w:id="2"/>
      <w:r w:rsidRPr="00A3768D">
        <w:t>Employee HR records</w:t>
      </w:r>
      <w:bookmarkEnd w:id="1"/>
    </w:p>
    <w:tbl>
      <w:tblPr>
        <w:tblStyle w:val="a4"/>
        <w:tblW w:w="104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481"/>
        <w:gridCol w:w="3474"/>
        <w:gridCol w:w="3475"/>
      </w:tblGrid>
      <w:tr w:rsidRPr="00A3768D" w:rsidR="00BF64F7" w:rsidTr="596F3EA2" w14:paraId="19095F84" w14:textId="77777777">
        <w:trPr>
          <w:trHeight w:val="540"/>
        </w:trPr>
        <w:tc>
          <w:tcPr>
            <w:tcW w:w="3481" w:type="dxa"/>
            <w:shd w:val="clear" w:color="auto" w:fill="8DB3E2" w:themeFill="text2" w:themeFillTint="66"/>
            <w:vAlign w:val="center"/>
          </w:tcPr>
          <w:p w:rsidRPr="00A3768D" w:rsidR="00BF64F7" w:rsidP="00851055" w:rsidRDefault="00DD1DD8" w14:paraId="72E34745" w14:textId="0E9E6BA5">
            <w:pPr>
              <w:jc w:val="center"/>
              <w:rPr>
                <w:rFonts w:ascii="Calibri" w:hAnsi="Calibri" w:eastAsia="Calibri" w:cs="Calibri"/>
                <w:b/>
                <w:szCs w:val="24"/>
              </w:rPr>
            </w:pPr>
            <w:r w:rsidRPr="00A3768D">
              <w:rPr>
                <w:rFonts w:ascii="Calibri" w:hAnsi="Calibri" w:eastAsia="Calibri" w:cs="Calibri"/>
                <w:b/>
                <w:szCs w:val="24"/>
              </w:rPr>
              <w:t>Type of Material</w:t>
            </w:r>
          </w:p>
        </w:tc>
        <w:tc>
          <w:tcPr>
            <w:tcW w:w="3474" w:type="dxa"/>
            <w:shd w:val="clear" w:color="auto" w:fill="8DB3E2" w:themeFill="text2" w:themeFillTint="66"/>
            <w:vAlign w:val="center"/>
          </w:tcPr>
          <w:p w:rsidRPr="00A3768D" w:rsidR="00BF64F7" w:rsidP="00A3768D" w:rsidRDefault="00DD1DD8" w14:paraId="143223EC" w14:textId="77777777">
            <w:pPr>
              <w:jc w:val="center"/>
              <w:rPr>
                <w:rFonts w:ascii="Calibri" w:hAnsi="Calibri" w:eastAsia="Calibri" w:cs="Calibri"/>
                <w:b/>
                <w:szCs w:val="24"/>
              </w:rPr>
            </w:pPr>
            <w:r w:rsidRPr="00A3768D">
              <w:rPr>
                <w:rFonts w:ascii="Calibri" w:hAnsi="Calibri" w:eastAsia="Calibri" w:cs="Calibri"/>
                <w:b/>
                <w:szCs w:val="24"/>
              </w:rPr>
              <w:t>Minimum Retention Period</w:t>
            </w:r>
          </w:p>
        </w:tc>
        <w:tc>
          <w:tcPr>
            <w:tcW w:w="3475" w:type="dxa"/>
            <w:shd w:val="clear" w:color="auto" w:fill="8DB3E2" w:themeFill="text2" w:themeFillTint="66"/>
            <w:vAlign w:val="center"/>
          </w:tcPr>
          <w:p w:rsidRPr="00A3768D" w:rsidR="00BF64F7" w:rsidP="00A3768D" w:rsidRDefault="00DD1DD8" w14:paraId="6298BFF7" w14:textId="77777777">
            <w:pPr>
              <w:jc w:val="center"/>
              <w:rPr>
                <w:rFonts w:ascii="Calibri" w:hAnsi="Calibri" w:eastAsia="Calibri" w:cs="Calibri"/>
                <w:b/>
                <w:szCs w:val="24"/>
              </w:rPr>
            </w:pPr>
            <w:r w:rsidRPr="00A3768D">
              <w:rPr>
                <w:rFonts w:ascii="Calibri" w:hAnsi="Calibri" w:eastAsia="Calibri" w:cs="Calibri"/>
                <w:b/>
                <w:szCs w:val="24"/>
              </w:rPr>
              <w:t>Reason</w:t>
            </w:r>
          </w:p>
        </w:tc>
      </w:tr>
      <w:tr w:rsidRPr="00734220" w:rsidR="00BF64F7" w:rsidTr="596F3EA2" w14:paraId="188DE488" w14:textId="77777777">
        <w:tc>
          <w:tcPr>
            <w:tcW w:w="3481" w:type="dxa"/>
            <w:shd w:val="clear" w:color="auto" w:fill="auto"/>
          </w:tcPr>
          <w:p w:rsidRPr="00734220" w:rsidR="00BF64F7" w:rsidP="5D1D556F" w:rsidRDefault="3CE21286" w14:paraId="414ADE5A" w14:textId="5CBA3639">
            <w:pPr>
              <w:pStyle w:val="TableParagraph"/>
              <w:rPr>
                <w:rFonts w:cstheme="minorBidi"/>
                <w:sz w:val="24"/>
                <w:szCs w:val="24"/>
              </w:rPr>
            </w:pPr>
            <w:r w:rsidRPr="5D1D556F">
              <w:rPr>
                <w:sz w:val="24"/>
                <w:szCs w:val="24"/>
              </w:rPr>
              <w:t>Material that is constantly updated, such as an employee’s home address</w:t>
            </w:r>
          </w:p>
        </w:tc>
        <w:tc>
          <w:tcPr>
            <w:tcW w:w="3474" w:type="dxa"/>
            <w:shd w:val="clear" w:color="auto" w:fill="auto"/>
          </w:tcPr>
          <w:p w:rsidRPr="00734220" w:rsidR="00BF64F7" w:rsidP="5D1D556F" w:rsidRDefault="3CE21286" w14:paraId="7040F231" w14:textId="77777777">
            <w:pPr>
              <w:pStyle w:val="TableParagraph"/>
              <w:rPr>
                <w:rFonts w:cstheme="minorBidi"/>
                <w:sz w:val="24"/>
                <w:szCs w:val="24"/>
              </w:rPr>
            </w:pPr>
            <w:r w:rsidRPr="5D1D556F">
              <w:rPr>
                <w:sz w:val="24"/>
                <w:szCs w:val="24"/>
              </w:rPr>
              <w:t>Out-of-date material should, in principle, never be in the file</w:t>
            </w:r>
          </w:p>
        </w:tc>
        <w:tc>
          <w:tcPr>
            <w:tcW w:w="3475" w:type="dxa"/>
            <w:shd w:val="clear" w:color="auto" w:fill="auto"/>
          </w:tcPr>
          <w:p w:rsidRPr="00734220" w:rsidR="00BF64F7" w:rsidP="5D1D556F" w:rsidRDefault="3CE21286" w14:paraId="0698374B" w14:textId="77777777">
            <w:pPr>
              <w:pStyle w:val="TableParagraph"/>
              <w:rPr>
                <w:rFonts w:cstheme="minorBidi"/>
                <w:sz w:val="24"/>
                <w:szCs w:val="24"/>
              </w:rPr>
            </w:pPr>
            <w:r w:rsidRPr="5D1D556F">
              <w:rPr>
                <w:sz w:val="24"/>
                <w:szCs w:val="24"/>
              </w:rPr>
              <w:t>Data Protection Principles</w:t>
            </w:r>
          </w:p>
        </w:tc>
      </w:tr>
      <w:tr w:rsidRPr="00734220" w:rsidR="00BF64F7" w:rsidTr="596F3EA2" w14:paraId="5C3FF441" w14:textId="77777777">
        <w:trPr>
          <w:trHeight w:val="540"/>
        </w:trPr>
        <w:tc>
          <w:tcPr>
            <w:tcW w:w="3481" w:type="dxa"/>
            <w:shd w:val="clear" w:color="auto" w:fill="auto"/>
          </w:tcPr>
          <w:p w:rsidRPr="00734220" w:rsidR="00BF64F7" w:rsidP="5D1D556F" w:rsidRDefault="3CE21286" w14:paraId="05E980A1" w14:textId="7D4D4EDF">
            <w:pPr>
              <w:pStyle w:val="TableParagraph"/>
              <w:rPr>
                <w:rFonts w:cstheme="minorBidi"/>
                <w:sz w:val="24"/>
                <w:szCs w:val="24"/>
              </w:rPr>
            </w:pPr>
            <w:r w:rsidRPr="5D1D556F">
              <w:rPr>
                <w:sz w:val="24"/>
                <w:szCs w:val="24"/>
              </w:rPr>
              <w:t xml:space="preserve">Most recruitment and selection </w:t>
            </w:r>
            <w:r w:rsidRPr="5D1D556F" w:rsidR="198F5006">
              <w:rPr>
                <w:sz w:val="24"/>
                <w:szCs w:val="24"/>
              </w:rPr>
              <w:t>materials</w:t>
            </w:r>
            <w:r w:rsidRPr="5D1D556F">
              <w:rPr>
                <w:sz w:val="24"/>
                <w:szCs w:val="24"/>
              </w:rPr>
              <w:t xml:space="preserve"> rejected candidates</w:t>
            </w:r>
          </w:p>
        </w:tc>
        <w:tc>
          <w:tcPr>
            <w:tcW w:w="3474" w:type="dxa"/>
            <w:shd w:val="clear" w:color="auto" w:fill="auto"/>
          </w:tcPr>
          <w:p w:rsidRPr="00734220" w:rsidR="00BF64F7" w:rsidP="5D1D556F" w:rsidRDefault="0AD58C76" w14:paraId="69F84ABF" w14:textId="7EA59990">
            <w:pPr>
              <w:pStyle w:val="TableParagraph"/>
              <w:rPr>
                <w:rFonts w:cstheme="minorBidi"/>
                <w:sz w:val="24"/>
                <w:szCs w:val="24"/>
              </w:rPr>
            </w:pPr>
            <w:r w:rsidRPr="5D1D556F">
              <w:rPr>
                <w:sz w:val="24"/>
                <w:szCs w:val="24"/>
              </w:rPr>
              <w:t>Typically,</w:t>
            </w:r>
            <w:r w:rsidRPr="5D1D556F" w:rsidR="424C6A1D">
              <w:rPr>
                <w:sz w:val="24"/>
                <w:szCs w:val="24"/>
              </w:rPr>
              <w:t xml:space="preserve"> </w:t>
            </w:r>
            <w:r w:rsidRPr="5D1D556F" w:rsidR="3CE21286">
              <w:rPr>
                <w:sz w:val="24"/>
                <w:szCs w:val="24"/>
              </w:rPr>
              <w:t>6</w:t>
            </w:r>
            <w:r w:rsidRPr="5D1D556F" w:rsidR="424C6A1D">
              <w:rPr>
                <w:sz w:val="24"/>
                <w:szCs w:val="24"/>
              </w:rPr>
              <w:t>-12</w:t>
            </w:r>
            <w:r w:rsidRPr="5D1D556F" w:rsidR="3CE21286">
              <w:rPr>
                <w:sz w:val="24"/>
                <w:szCs w:val="24"/>
              </w:rPr>
              <w:t xml:space="preserve"> months after the decision</w:t>
            </w:r>
          </w:p>
        </w:tc>
        <w:tc>
          <w:tcPr>
            <w:tcW w:w="3475" w:type="dxa"/>
            <w:shd w:val="clear" w:color="auto" w:fill="auto"/>
          </w:tcPr>
          <w:p w:rsidRPr="00734220" w:rsidR="00BF64F7" w:rsidP="5D1D556F" w:rsidRDefault="198F5006" w14:paraId="75586C4E" w14:textId="1F983AAD">
            <w:pPr>
              <w:pStyle w:val="TableParagraph"/>
              <w:rPr>
                <w:rFonts w:cstheme="minorBidi"/>
                <w:sz w:val="24"/>
                <w:szCs w:val="24"/>
              </w:rPr>
            </w:pPr>
            <w:r w:rsidRPr="5D1D556F">
              <w:rPr>
                <w:sz w:val="24"/>
                <w:szCs w:val="24"/>
              </w:rPr>
              <w:t>The time</w:t>
            </w:r>
            <w:r w:rsidRPr="5D1D556F" w:rsidR="3CE21286">
              <w:rPr>
                <w:sz w:val="24"/>
                <w:szCs w:val="24"/>
              </w:rPr>
              <w:t xml:space="preserve"> limit for claim of </w:t>
            </w:r>
            <w:r w:rsidRPr="5D1D556F" w:rsidR="13352B68">
              <w:rPr>
                <w:sz w:val="24"/>
                <w:szCs w:val="24"/>
              </w:rPr>
              <w:t>discrimination, Employment</w:t>
            </w:r>
            <w:r w:rsidRPr="5D1D556F" w:rsidR="3CE21286">
              <w:rPr>
                <w:sz w:val="24"/>
                <w:szCs w:val="24"/>
              </w:rPr>
              <w:t xml:space="preserve"> Practices Code Part 1 </w:t>
            </w:r>
          </w:p>
        </w:tc>
      </w:tr>
      <w:tr w:rsidRPr="00734220" w:rsidR="008A617B" w:rsidTr="596F3EA2" w14:paraId="196CC84F" w14:textId="77777777">
        <w:trPr>
          <w:trHeight w:val="540"/>
        </w:trPr>
        <w:tc>
          <w:tcPr>
            <w:tcW w:w="3481" w:type="dxa"/>
            <w:shd w:val="clear" w:color="auto" w:fill="auto"/>
          </w:tcPr>
          <w:p w:rsidRPr="00734220" w:rsidR="008A617B" w:rsidP="5D1D556F" w:rsidRDefault="38128BD0" w14:paraId="62410201" w14:textId="17450D2F">
            <w:pPr>
              <w:pStyle w:val="TableParagraph"/>
              <w:rPr>
                <w:rFonts w:cstheme="minorBidi"/>
                <w:sz w:val="24"/>
                <w:szCs w:val="24"/>
              </w:rPr>
            </w:pPr>
            <w:r w:rsidRPr="5D1D556F">
              <w:rPr>
                <w:sz w:val="24"/>
                <w:szCs w:val="24"/>
              </w:rPr>
              <w:t>Most Job Applications and selection materials successful candidates</w:t>
            </w:r>
          </w:p>
        </w:tc>
        <w:tc>
          <w:tcPr>
            <w:tcW w:w="3474" w:type="dxa"/>
            <w:shd w:val="clear" w:color="auto" w:fill="auto"/>
          </w:tcPr>
          <w:p w:rsidR="008A617B" w:rsidP="5D1D556F" w:rsidRDefault="38128BD0" w14:paraId="72F6D889" w14:textId="548A9F3A">
            <w:pPr>
              <w:pStyle w:val="TableParagraph"/>
              <w:rPr>
                <w:rFonts w:cstheme="minorBidi"/>
                <w:sz w:val="24"/>
                <w:szCs w:val="24"/>
              </w:rPr>
            </w:pPr>
            <w:r w:rsidRPr="5D1D556F">
              <w:rPr>
                <w:sz w:val="24"/>
                <w:szCs w:val="24"/>
              </w:rPr>
              <w:t>Length of employment plus 6 years.</w:t>
            </w:r>
          </w:p>
        </w:tc>
        <w:tc>
          <w:tcPr>
            <w:tcW w:w="3475" w:type="dxa"/>
            <w:shd w:val="clear" w:color="auto" w:fill="auto"/>
          </w:tcPr>
          <w:p w:rsidRPr="00734220" w:rsidR="008A617B" w:rsidP="5D1D556F" w:rsidRDefault="008A617B" w14:paraId="02DDFE2D" w14:textId="77777777">
            <w:pPr>
              <w:pStyle w:val="TableParagraph"/>
              <w:rPr>
                <w:sz w:val="24"/>
                <w:szCs w:val="24"/>
              </w:rPr>
            </w:pPr>
          </w:p>
        </w:tc>
      </w:tr>
      <w:tr w:rsidRPr="00734220" w:rsidR="008A617B" w:rsidTr="596F3EA2" w14:paraId="163B79AD" w14:textId="77777777">
        <w:trPr>
          <w:trHeight w:val="420"/>
        </w:trPr>
        <w:tc>
          <w:tcPr>
            <w:tcW w:w="3481" w:type="dxa"/>
            <w:shd w:val="clear" w:color="auto" w:fill="auto"/>
          </w:tcPr>
          <w:p w:rsidRPr="00734220" w:rsidR="008A617B" w:rsidP="596F3EA2" w:rsidRDefault="38128BD0" w14:paraId="2AB52E7B" w14:textId="24A98FB8">
            <w:pPr>
              <w:pStyle w:val="TableParagraph"/>
              <w:rPr>
                <w:rFonts w:cstheme="minorBidi"/>
                <w:sz w:val="24"/>
                <w:szCs w:val="24"/>
              </w:rPr>
            </w:pPr>
            <w:r w:rsidRPr="596F3EA2">
              <w:rPr>
                <w:sz w:val="24"/>
                <w:szCs w:val="24"/>
              </w:rPr>
              <w:t>Criminal Background Checks (</w:t>
            </w:r>
            <w:r w:rsidRPr="596F3EA2" w:rsidR="5389B95C">
              <w:rPr>
                <w:sz w:val="24"/>
                <w:szCs w:val="24"/>
              </w:rPr>
              <w:t>Disclosure and Baring Service-DBS</w:t>
            </w:r>
            <w:r w:rsidRPr="596F3EA2">
              <w:rPr>
                <w:sz w:val="24"/>
                <w:szCs w:val="24"/>
              </w:rPr>
              <w:t>) (where you are allowed to collect this data)</w:t>
            </w:r>
          </w:p>
        </w:tc>
        <w:tc>
          <w:tcPr>
            <w:tcW w:w="3474" w:type="dxa"/>
            <w:shd w:val="clear" w:color="auto" w:fill="auto"/>
          </w:tcPr>
          <w:p w:rsidRPr="008A617B" w:rsidR="008A617B" w:rsidP="5D1D556F" w:rsidRDefault="38128BD0" w14:paraId="4308B7EC" w14:textId="77777777">
            <w:pPr>
              <w:pStyle w:val="TableParagraph"/>
              <w:rPr>
                <w:rFonts w:cstheme="minorBidi"/>
                <w:sz w:val="24"/>
                <w:szCs w:val="24"/>
              </w:rPr>
            </w:pPr>
            <w:r w:rsidRPr="5D1D556F">
              <w:rPr>
                <w:sz w:val="24"/>
                <w:szCs w:val="24"/>
              </w:rPr>
              <w:t>For successful candidates: the retention period should match other employment records.</w:t>
            </w:r>
          </w:p>
          <w:p w:rsidRPr="00734220" w:rsidR="008A617B" w:rsidP="4821A59D" w:rsidRDefault="3239F2D3" w14:paraId="03C4F696" w14:textId="16C4FC00">
            <w:pPr>
              <w:pStyle w:val="TableParagraph"/>
              <w:rPr>
                <w:rFonts w:cstheme="minorBidi"/>
                <w:sz w:val="24"/>
                <w:szCs w:val="24"/>
              </w:rPr>
            </w:pPr>
            <w:r w:rsidRPr="4821A59D">
              <w:rPr>
                <w:sz w:val="24"/>
                <w:szCs w:val="24"/>
              </w:rPr>
              <w:t>Checks on unsuccessful candidates: approximately 6 to 1</w:t>
            </w:r>
            <w:r w:rsidRPr="4821A59D" w:rsidR="5FC2DDBA">
              <w:rPr>
                <w:sz w:val="24"/>
                <w:szCs w:val="24"/>
              </w:rPr>
              <w:t>2</w:t>
            </w:r>
            <w:r w:rsidRPr="4821A59D">
              <w:rPr>
                <w:sz w:val="24"/>
                <w:szCs w:val="24"/>
              </w:rPr>
              <w:t xml:space="preserve"> months. This will depend on the context.</w:t>
            </w:r>
          </w:p>
        </w:tc>
        <w:tc>
          <w:tcPr>
            <w:tcW w:w="3475" w:type="dxa"/>
            <w:shd w:val="clear" w:color="auto" w:fill="auto"/>
          </w:tcPr>
          <w:p w:rsidRPr="00734220" w:rsidR="008A617B" w:rsidP="5D1D556F" w:rsidRDefault="008A617B" w14:paraId="36347A10" w14:textId="77777777">
            <w:pPr>
              <w:pStyle w:val="TableParagraph"/>
              <w:rPr>
                <w:sz w:val="24"/>
                <w:szCs w:val="24"/>
              </w:rPr>
            </w:pPr>
          </w:p>
        </w:tc>
      </w:tr>
      <w:tr w:rsidRPr="00734220" w:rsidR="008A617B" w:rsidTr="596F3EA2" w14:paraId="52B0A66D" w14:textId="77777777">
        <w:trPr>
          <w:trHeight w:val="760"/>
        </w:trPr>
        <w:tc>
          <w:tcPr>
            <w:tcW w:w="3481" w:type="dxa"/>
            <w:shd w:val="clear" w:color="auto" w:fill="auto"/>
          </w:tcPr>
          <w:p w:rsidRPr="00734220" w:rsidR="008A617B" w:rsidP="5D1D556F" w:rsidRDefault="38128BD0" w14:paraId="7495D4CF" w14:textId="77777777">
            <w:pPr>
              <w:pStyle w:val="TableParagraph"/>
              <w:rPr>
                <w:rFonts w:cstheme="minorBidi"/>
                <w:sz w:val="24"/>
                <w:szCs w:val="24"/>
              </w:rPr>
            </w:pPr>
            <w:r w:rsidRPr="5D1D556F">
              <w:rPr>
                <w:sz w:val="24"/>
                <w:szCs w:val="24"/>
              </w:rPr>
              <w:t>Identification documents of foreign nationals (obligation to retain copies to perform immigration checks)</w:t>
            </w:r>
          </w:p>
        </w:tc>
        <w:tc>
          <w:tcPr>
            <w:tcW w:w="3474" w:type="dxa"/>
            <w:shd w:val="clear" w:color="auto" w:fill="auto"/>
          </w:tcPr>
          <w:p w:rsidRPr="00734220" w:rsidR="008A617B" w:rsidP="5D1D556F" w:rsidRDefault="38128BD0" w14:paraId="3312061B" w14:textId="77777777">
            <w:pPr>
              <w:pStyle w:val="TableParagraph"/>
              <w:rPr>
                <w:rFonts w:cstheme="minorBidi"/>
                <w:sz w:val="24"/>
                <w:szCs w:val="24"/>
              </w:rPr>
            </w:pPr>
            <w:r w:rsidRPr="5D1D556F">
              <w:rPr>
                <w:sz w:val="24"/>
                <w:szCs w:val="24"/>
              </w:rPr>
              <w:t>Minimum 2 years</w:t>
            </w:r>
          </w:p>
        </w:tc>
        <w:tc>
          <w:tcPr>
            <w:tcW w:w="3475" w:type="dxa"/>
            <w:shd w:val="clear" w:color="auto" w:fill="auto"/>
          </w:tcPr>
          <w:p w:rsidRPr="00734220" w:rsidR="008A617B" w:rsidP="5D1D556F" w:rsidRDefault="38128BD0" w14:paraId="55810BDB" w14:textId="77777777">
            <w:pPr>
              <w:pStyle w:val="TableParagraph"/>
              <w:rPr>
                <w:rFonts w:cstheme="minorBidi"/>
                <w:sz w:val="24"/>
                <w:szCs w:val="24"/>
              </w:rPr>
            </w:pPr>
            <w:r w:rsidRPr="5D1D556F">
              <w:rPr>
                <w:sz w:val="24"/>
                <w:szCs w:val="24"/>
              </w:rPr>
              <w:t>Article 6 Immigration Restriction on Employment Order 2007</w:t>
            </w:r>
          </w:p>
        </w:tc>
      </w:tr>
      <w:tr w:rsidRPr="00734220" w:rsidR="008A617B" w:rsidTr="596F3EA2" w14:paraId="6791DF7D" w14:textId="77777777">
        <w:trPr>
          <w:trHeight w:val="180"/>
        </w:trPr>
        <w:tc>
          <w:tcPr>
            <w:tcW w:w="3481" w:type="dxa"/>
            <w:shd w:val="clear" w:color="auto" w:fill="auto"/>
          </w:tcPr>
          <w:p w:rsidRPr="00734220" w:rsidR="008A617B" w:rsidP="5D1D556F" w:rsidRDefault="38128BD0" w14:paraId="5DED8394" w14:textId="77777777">
            <w:pPr>
              <w:pStyle w:val="TableParagraph"/>
              <w:rPr>
                <w:rFonts w:cstheme="minorBidi"/>
                <w:sz w:val="24"/>
                <w:szCs w:val="24"/>
              </w:rPr>
            </w:pPr>
            <w:r w:rsidRPr="5D1D556F">
              <w:rPr>
                <w:sz w:val="24"/>
                <w:szCs w:val="24"/>
              </w:rPr>
              <w:lastRenderedPageBreak/>
              <w:t>Expat records and other records relating to foreign employees (</w:t>
            </w:r>
            <w:proofErr w:type="spellStart"/>
            <w:r w:rsidRPr="5D1D556F">
              <w:rPr>
                <w:sz w:val="24"/>
                <w:szCs w:val="24"/>
              </w:rPr>
              <w:t>eg.</w:t>
            </w:r>
            <w:proofErr w:type="spellEnd"/>
            <w:r w:rsidRPr="5D1D556F">
              <w:rPr>
                <w:sz w:val="24"/>
                <w:szCs w:val="24"/>
              </w:rPr>
              <w:t xml:space="preserve"> Visa work permit)</w:t>
            </w:r>
          </w:p>
        </w:tc>
        <w:tc>
          <w:tcPr>
            <w:tcW w:w="3474" w:type="dxa"/>
            <w:shd w:val="clear" w:color="auto" w:fill="auto"/>
          </w:tcPr>
          <w:p w:rsidRPr="00734220" w:rsidR="008A617B" w:rsidP="5D1D556F" w:rsidRDefault="38128BD0" w14:paraId="7BDDB8C0" w14:textId="77777777">
            <w:pPr>
              <w:pStyle w:val="TableParagraph"/>
              <w:rPr>
                <w:rFonts w:cstheme="minorBidi"/>
                <w:sz w:val="24"/>
                <w:szCs w:val="24"/>
              </w:rPr>
            </w:pPr>
            <w:r w:rsidRPr="5D1D556F">
              <w:rPr>
                <w:sz w:val="24"/>
                <w:szCs w:val="24"/>
              </w:rPr>
              <w:t>Maximum retention 6 years after employment ceases</w:t>
            </w:r>
          </w:p>
        </w:tc>
        <w:tc>
          <w:tcPr>
            <w:tcW w:w="3475" w:type="dxa"/>
            <w:shd w:val="clear" w:color="auto" w:fill="auto"/>
          </w:tcPr>
          <w:p w:rsidRPr="00734220" w:rsidR="008A617B" w:rsidP="5D1D556F" w:rsidRDefault="38128BD0" w14:paraId="0405A4DA" w14:textId="77777777">
            <w:pPr>
              <w:pStyle w:val="TableParagraph"/>
              <w:rPr>
                <w:rFonts w:cstheme="minorBidi"/>
                <w:sz w:val="24"/>
                <w:szCs w:val="24"/>
              </w:rPr>
            </w:pPr>
            <w:r w:rsidRPr="5D1D556F">
              <w:rPr>
                <w:sz w:val="24"/>
                <w:szCs w:val="24"/>
              </w:rPr>
              <w:t>Section 5 Limitation Act 1980</w:t>
            </w:r>
          </w:p>
        </w:tc>
      </w:tr>
      <w:tr w:rsidRPr="00734220" w:rsidR="008A617B" w:rsidTr="596F3EA2" w14:paraId="45B3DCC2" w14:textId="77777777">
        <w:trPr>
          <w:trHeight w:val="720"/>
        </w:trPr>
        <w:tc>
          <w:tcPr>
            <w:tcW w:w="3481" w:type="dxa"/>
            <w:shd w:val="clear" w:color="auto" w:fill="auto"/>
          </w:tcPr>
          <w:p w:rsidRPr="00734220" w:rsidR="008A617B" w:rsidP="5D1D556F" w:rsidRDefault="38128BD0" w14:paraId="17FEE38A" w14:textId="77777777">
            <w:pPr>
              <w:pStyle w:val="TableParagraph"/>
              <w:rPr>
                <w:rFonts w:cstheme="minorBidi"/>
                <w:sz w:val="24"/>
                <w:szCs w:val="24"/>
              </w:rPr>
            </w:pPr>
            <w:r w:rsidRPr="5D1D556F">
              <w:rPr>
                <w:sz w:val="24"/>
                <w:szCs w:val="24"/>
              </w:rPr>
              <w:t>Checks (such as references) made before taking someone on and any required copies of documents</w:t>
            </w:r>
          </w:p>
        </w:tc>
        <w:tc>
          <w:tcPr>
            <w:tcW w:w="3474" w:type="dxa"/>
            <w:shd w:val="clear" w:color="auto" w:fill="auto"/>
          </w:tcPr>
          <w:p w:rsidRPr="00734220" w:rsidR="008A617B" w:rsidP="5D1D556F" w:rsidRDefault="38128BD0" w14:paraId="286BE978" w14:textId="77777777">
            <w:pPr>
              <w:pStyle w:val="TableParagraph"/>
              <w:rPr>
                <w:rFonts w:cstheme="minorBidi"/>
                <w:sz w:val="24"/>
                <w:szCs w:val="24"/>
              </w:rPr>
            </w:pPr>
            <w:r w:rsidRPr="5D1D556F">
              <w:rPr>
                <w:sz w:val="24"/>
                <w:szCs w:val="24"/>
              </w:rPr>
              <w:t>6 years after the contract ends (and sometimes longer where Care standards apply)</w:t>
            </w:r>
          </w:p>
        </w:tc>
        <w:tc>
          <w:tcPr>
            <w:tcW w:w="3475" w:type="dxa"/>
            <w:shd w:val="clear" w:color="auto" w:fill="auto"/>
          </w:tcPr>
          <w:p w:rsidRPr="00734220" w:rsidR="008A617B" w:rsidP="5D1D556F" w:rsidRDefault="38128BD0" w14:paraId="4EE86D3F" w14:textId="77777777">
            <w:pPr>
              <w:pStyle w:val="TableParagraph"/>
              <w:rPr>
                <w:rFonts w:cstheme="minorBidi"/>
                <w:sz w:val="24"/>
                <w:szCs w:val="24"/>
              </w:rPr>
            </w:pPr>
            <w:r w:rsidRPr="5D1D556F">
              <w:rPr>
                <w:sz w:val="24"/>
                <w:szCs w:val="24"/>
              </w:rPr>
              <w:t>Evidence that checks were made</w:t>
            </w:r>
          </w:p>
        </w:tc>
      </w:tr>
      <w:tr w:rsidRPr="00734220" w:rsidR="008A617B" w:rsidTr="596F3EA2" w14:paraId="64BA52BD" w14:textId="77777777">
        <w:trPr>
          <w:trHeight w:val="240"/>
        </w:trPr>
        <w:tc>
          <w:tcPr>
            <w:tcW w:w="3481" w:type="dxa"/>
            <w:shd w:val="clear" w:color="auto" w:fill="auto"/>
          </w:tcPr>
          <w:p w:rsidRPr="00734220" w:rsidR="008A617B" w:rsidP="5D1D556F" w:rsidRDefault="38128BD0" w14:paraId="0EEEBC4A" w14:textId="77777777">
            <w:pPr>
              <w:pStyle w:val="TableParagraph"/>
              <w:rPr>
                <w:rFonts w:cstheme="minorBidi"/>
                <w:sz w:val="24"/>
                <w:szCs w:val="24"/>
              </w:rPr>
            </w:pPr>
            <w:r w:rsidRPr="5D1D556F">
              <w:rPr>
                <w:sz w:val="24"/>
                <w:szCs w:val="24"/>
              </w:rPr>
              <w:t>Copy of identification documents for Right to Work Checks</w:t>
            </w:r>
          </w:p>
        </w:tc>
        <w:tc>
          <w:tcPr>
            <w:tcW w:w="3474" w:type="dxa"/>
            <w:shd w:val="clear" w:color="auto" w:fill="auto"/>
          </w:tcPr>
          <w:p w:rsidRPr="00734220" w:rsidR="008A617B" w:rsidP="5D1D556F" w:rsidRDefault="38128BD0" w14:paraId="77BA2DF5" w14:textId="77777777">
            <w:pPr>
              <w:pStyle w:val="TableParagraph"/>
              <w:rPr>
                <w:rFonts w:cstheme="minorBidi"/>
                <w:sz w:val="24"/>
                <w:szCs w:val="24"/>
              </w:rPr>
            </w:pPr>
            <w:r w:rsidRPr="5D1D556F">
              <w:rPr>
                <w:sz w:val="24"/>
                <w:szCs w:val="24"/>
              </w:rPr>
              <w:t>Maximum 6 years after employment ceases</w:t>
            </w:r>
          </w:p>
        </w:tc>
        <w:tc>
          <w:tcPr>
            <w:tcW w:w="3475" w:type="dxa"/>
            <w:shd w:val="clear" w:color="auto" w:fill="auto"/>
          </w:tcPr>
          <w:p w:rsidRPr="00734220" w:rsidR="008A617B" w:rsidP="5D1D556F" w:rsidRDefault="38128BD0" w14:paraId="3C82105B" w14:textId="77777777">
            <w:pPr>
              <w:pStyle w:val="TableParagraph"/>
              <w:rPr>
                <w:rFonts w:cstheme="minorBidi"/>
                <w:sz w:val="24"/>
                <w:szCs w:val="24"/>
              </w:rPr>
            </w:pPr>
            <w:r w:rsidRPr="5D1D556F">
              <w:rPr>
                <w:sz w:val="24"/>
                <w:szCs w:val="24"/>
              </w:rPr>
              <w:t>Section 5 Limitation Act 1980</w:t>
            </w:r>
          </w:p>
        </w:tc>
      </w:tr>
      <w:tr w:rsidRPr="00734220" w:rsidR="00BF64F7" w:rsidTr="596F3EA2" w14:paraId="3471EE5E" w14:textId="77777777">
        <w:trPr>
          <w:trHeight w:val="420"/>
        </w:trPr>
        <w:tc>
          <w:tcPr>
            <w:tcW w:w="3481" w:type="dxa"/>
            <w:shd w:val="clear" w:color="auto" w:fill="auto"/>
          </w:tcPr>
          <w:p w:rsidRPr="00734220" w:rsidR="00BF64F7" w:rsidP="5D1D556F" w:rsidRDefault="3CE21286" w14:paraId="00F781B6" w14:textId="77777777">
            <w:pPr>
              <w:pStyle w:val="TableParagraph"/>
              <w:rPr>
                <w:rFonts w:cstheme="minorBidi"/>
                <w:sz w:val="24"/>
                <w:szCs w:val="24"/>
              </w:rPr>
            </w:pPr>
            <w:r w:rsidRPr="5D1D556F">
              <w:rPr>
                <w:sz w:val="24"/>
                <w:szCs w:val="24"/>
              </w:rPr>
              <w:t>Correspondence</w:t>
            </w:r>
          </w:p>
        </w:tc>
        <w:tc>
          <w:tcPr>
            <w:tcW w:w="3474" w:type="dxa"/>
            <w:shd w:val="clear" w:color="auto" w:fill="auto"/>
          </w:tcPr>
          <w:p w:rsidRPr="00734220" w:rsidR="00BF64F7" w:rsidP="5D1D556F" w:rsidRDefault="3CE21286" w14:paraId="3237C2F6" w14:textId="77777777">
            <w:pPr>
              <w:pStyle w:val="TableParagraph"/>
              <w:rPr>
                <w:rFonts w:cstheme="minorBidi"/>
                <w:sz w:val="24"/>
                <w:szCs w:val="24"/>
              </w:rPr>
            </w:pPr>
            <w:r w:rsidRPr="5D1D556F">
              <w:rPr>
                <w:sz w:val="24"/>
                <w:szCs w:val="24"/>
              </w:rPr>
              <w:t>To the extent that correspondence contains personal data.  Should not be kept longer than is necessary for which personal data was processed</w:t>
            </w:r>
          </w:p>
        </w:tc>
        <w:tc>
          <w:tcPr>
            <w:tcW w:w="3475" w:type="dxa"/>
            <w:shd w:val="clear" w:color="auto" w:fill="auto"/>
          </w:tcPr>
          <w:p w:rsidRPr="00734220" w:rsidR="00BF64F7" w:rsidP="5D1D556F" w:rsidRDefault="3CE21286" w14:paraId="203F38C7" w14:textId="77777777">
            <w:pPr>
              <w:pStyle w:val="TableParagraph"/>
              <w:rPr>
                <w:rFonts w:cstheme="minorBidi"/>
                <w:sz w:val="24"/>
                <w:szCs w:val="24"/>
              </w:rPr>
            </w:pPr>
            <w:r w:rsidRPr="5D1D556F">
              <w:rPr>
                <w:sz w:val="24"/>
                <w:szCs w:val="24"/>
              </w:rPr>
              <w:t>GDPR principle, DPA 5th principle</w:t>
            </w:r>
          </w:p>
        </w:tc>
      </w:tr>
      <w:tr w:rsidRPr="00734220" w:rsidR="00BF64F7" w:rsidTr="596F3EA2" w14:paraId="10CEF7BA" w14:textId="77777777">
        <w:tc>
          <w:tcPr>
            <w:tcW w:w="3481" w:type="dxa"/>
            <w:shd w:val="clear" w:color="auto" w:fill="auto"/>
          </w:tcPr>
          <w:p w:rsidRPr="00734220" w:rsidR="00BF64F7" w:rsidP="5D1D556F" w:rsidRDefault="3CE21286" w14:paraId="11D25399" w14:textId="77777777">
            <w:pPr>
              <w:pStyle w:val="TableParagraph"/>
              <w:rPr>
                <w:rFonts w:cstheme="minorBidi"/>
                <w:sz w:val="24"/>
                <w:szCs w:val="24"/>
              </w:rPr>
            </w:pPr>
            <w:r w:rsidRPr="5D1D556F">
              <w:rPr>
                <w:sz w:val="24"/>
                <w:szCs w:val="24"/>
              </w:rPr>
              <w:t>Incidental correspondence with staff members</w:t>
            </w:r>
          </w:p>
        </w:tc>
        <w:tc>
          <w:tcPr>
            <w:tcW w:w="3474" w:type="dxa"/>
            <w:shd w:val="clear" w:color="auto" w:fill="auto"/>
          </w:tcPr>
          <w:p w:rsidRPr="00734220" w:rsidR="00BF64F7" w:rsidP="5D1D556F" w:rsidRDefault="3CE21286" w14:paraId="4CDDBC55" w14:textId="77777777">
            <w:pPr>
              <w:pStyle w:val="TableParagraph"/>
              <w:rPr>
                <w:rFonts w:cstheme="minorBidi"/>
                <w:sz w:val="24"/>
                <w:szCs w:val="24"/>
              </w:rPr>
            </w:pPr>
            <w:r w:rsidRPr="5D1D556F">
              <w:rPr>
                <w:sz w:val="24"/>
                <w:szCs w:val="24"/>
              </w:rPr>
              <w:t>One year after the matter is closed</w:t>
            </w:r>
          </w:p>
        </w:tc>
        <w:tc>
          <w:tcPr>
            <w:tcW w:w="3475" w:type="dxa"/>
            <w:shd w:val="clear" w:color="auto" w:fill="auto"/>
          </w:tcPr>
          <w:p w:rsidRPr="00734220" w:rsidR="00BF64F7" w:rsidP="5D1D556F" w:rsidRDefault="3CE21286" w14:paraId="718EDD5C" w14:textId="77777777">
            <w:pPr>
              <w:pStyle w:val="TableParagraph"/>
              <w:rPr>
                <w:rFonts w:cstheme="minorBidi"/>
                <w:sz w:val="24"/>
                <w:szCs w:val="24"/>
              </w:rPr>
            </w:pPr>
            <w:r w:rsidRPr="5D1D556F">
              <w:rPr>
                <w:sz w:val="24"/>
                <w:szCs w:val="24"/>
              </w:rPr>
              <w:t>Data Protection Principles</w:t>
            </w:r>
          </w:p>
        </w:tc>
      </w:tr>
    </w:tbl>
    <w:tbl>
      <w:tblPr>
        <w:tblW w:w="1043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3481"/>
        <w:gridCol w:w="3474"/>
        <w:gridCol w:w="3475"/>
      </w:tblGrid>
      <w:tr w:rsidRPr="00734220" w:rsidR="008A617B" w:rsidTr="098D6404" w14:paraId="7457A7FB" w14:textId="77777777">
        <w:trPr>
          <w:trHeight w:val="500"/>
        </w:trPr>
        <w:tc>
          <w:tcPr>
            <w:tcW w:w="3481" w:type="dxa"/>
            <w:shd w:val="clear" w:color="auto" w:fill="auto"/>
          </w:tcPr>
          <w:p w:rsidRPr="00734220" w:rsidR="008A617B" w:rsidP="5D1D556F" w:rsidRDefault="38128BD0" w14:paraId="727C8A8C" w14:textId="77777777">
            <w:pPr>
              <w:pStyle w:val="TableParagraph"/>
              <w:rPr>
                <w:rFonts w:cstheme="minorBidi"/>
                <w:sz w:val="24"/>
                <w:szCs w:val="24"/>
              </w:rPr>
            </w:pPr>
            <w:bookmarkStart w:name="_Hlk137202627" w:id="3"/>
            <w:r w:rsidRPr="5D1D556F">
              <w:rPr>
                <w:sz w:val="24"/>
                <w:szCs w:val="24"/>
              </w:rPr>
              <w:t>Material forming part of an employment contract, changes to T&amp;C’s</w:t>
            </w:r>
          </w:p>
        </w:tc>
        <w:tc>
          <w:tcPr>
            <w:tcW w:w="3474" w:type="dxa"/>
            <w:shd w:val="clear" w:color="auto" w:fill="auto"/>
          </w:tcPr>
          <w:p w:rsidRPr="00734220" w:rsidR="008A617B" w:rsidP="5D1D556F" w:rsidRDefault="38128BD0" w14:paraId="2EDC05FC" w14:textId="77777777">
            <w:pPr>
              <w:pStyle w:val="TableParagraph"/>
              <w:rPr>
                <w:rFonts w:cstheme="minorBidi"/>
                <w:sz w:val="24"/>
                <w:szCs w:val="24"/>
              </w:rPr>
            </w:pPr>
            <w:r w:rsidRPr="5D1D556F">
              <w:rPr>
                <w:sz w:val="24"/>
                <w:szCs w:val="24"/>
              </w:rPr>
              <w:t>6 years after the contract ends (or after that provision is superseded</w:t>
            </w:r>
          </w:p>
        </w:tc>
        <w:tc>
          <w:tcPr>
            <w:tcW w:w="3475" w:type="dxa"/>
            <w:shd w:val="clear" w:color="auto" w:fill="auto"/>
          </w:tcPr>
          <w:p w:rsidRPr="00734220" w:rsidR="008A617B" w:rsidP="5D1D556F" w:rsidRDefault="38128BD0" w14:paraId="49DE6864" w14:textId="77777777">
            <w:pPr>
              <w:pStyle w:val="TableParagraph"/>
              <w:rPr>
                <w:rFonts w:cstheme="minorBidi"/>
                <w:sz w:val="24"/>
                <w:szCs w:val="24"/>
              </w:rPr>
            </w:pPr>
            <w:r w:rsidRPr="5D1D556F">
              <w:rPr>
                <w:sz w:val="24"/>
                <w:szCs w:val="24"/>
              </w:rPr>
              <w:t>The time limit for legal claim Section 5 Limitation Act 1980</w:t>
            </w:r>
          </w:p>
        </w:tc>
      </w:tr>
      <w:tr w:rsidRPr="00734220" w:rsidR="008A617B" w:rsidTr="098D6404" w14:paraId="11F45C09" w14:textId="77777777">
        <w:trPr>
          <w:trHeight w:val="80"/>
        </w:trPr>
        <w:tc>
          <w:tcPr>
            <w:tcW w:w="3481" w:type="dxa"/>
            <w:shd w:val="clear" w:color="auto" w:fill="auto"/>
          </w:tcPr>
          <w:p w:rsidRPr="00734220" w:rsidR="008A617B" w:rsidP="5D1D556F" w:rsidRDefault="38128BD0" w14:paraId="61D43859" w14:textId="77777777">
            <w:pPr>
              <w:pStyle w:val="TableParagraph"/>
              <w:rPr>
                <w:rFonts w:cstheme="minorBidi"/>
                <w:sz w:val="24"/>
                <w:szCs w:val="24"/>
              </w:rPr>
            </w:pPr>
            <w:r w:rsidRPr="5D1D556F">
              <w:rPr>
                <w:sz w:val="24"/>
                <w:szCs w:val="24"/>
              </w:rPr>
              <w:t>Data concerning a temporary worker</w:t>
            </w:r>
          </w:p>
        </w:tc>
        <w:tc>
          <w:tcPr>
            <w:tcW w:w="3474" w:type="dxa"/>
            <w:shd w:val="clear" w:color="auto" w:fill="auto"/>
          </w:tcPr>
          <w:p w:rsidRPr="00734220" w:rsidR="008A617B" w:rsidP="5D1D556F" w:rsidRDefault="38128BD0" w14:paraId="2582AB64" w14:textId="77777777">
            <w:pPr>
              <w:pStyle w:val="TableParagraph"/>
              <w:rPr>
                <w:rFonts w:cstheme="minorBidi"/>
                <w:sz w:val="24"/>
                <w:szCs w:val="24"/>
              </w:rPr>
            </w:pPr>
            <w:r w:rsidRPr="5D1D556F">
              <w:rPr>
                <w:sz w:val="24"/>
                <w:szCs w:val="24"/>
              </w:rPr>
              <w:t>Maximum 6 years after employment ceases</w:t>
            </w:r>
          </w:p>
        </w:tc>
        <w:tc>
          <w:tcPr>
            <w:tcW w:w="3475" w:type="dxa"/>
            <w:shd w:val="clear" w:color="auto" w:fill="auto"/>
          </w:tcPr>
          <w:p w:rsidRPr="00734220" w:rsidR="008A617B" w:rsidP="5D1D556F" w:rsidRDefault="38128BD0" w14:paraId="20F5D4E0" w14:textId="77777777">
            <w:pPr>
              <w:pStyle w:val="TableParagraph"/>
              <w:rPr>
                <w:rFonts w:cstheme="minorBidi"/>
                <w:sz w:val="24"/>
                <w:szCs w:val="24"/>
              </w:rPr>
            </w:pPr>
            <w:r w:rsidRPr="5D1D556F">
              <w:rPr>
                <w:sz w:val="24"/>
                <w:szCs w:val="24"/>
              </w:rPr>
              <w:t>Section 5 Limitation Act 1980</w:t>
            </w:r>
          </w:p>
        </w:tc>
      </w:tr>
      <w:tr w:rsidRPr="00734220" w:rsidR="008A617B" w:rsidTr="6305B8F6" w14:paraId="181CCA96" w14:textId="77777777">
        <w:trPr>
          <w:trHeight w:val="1140"/>
        </w:trPr>
        <w:tc>
          <w:tcPr>
            <w:tcW w:w="3481" w:type="dxa"/>
            <w:shd w:val="clear" w:color="auto" w:fill="auto"/>
          </w:tcPr>
          <w:p w:rsidRPr="00734220" w:rsidR="008A617B" w:rsidP="6305B8F6" w:rsidRDefault="5891C33E" w14:paraId="26973EAB" w14:textId="105FBA33">
            <w:pPr>
              <w:pStyle w:val="TableParagraph"/>
              <w:rPr>
                <w:rFonts w:cstheme="minorBidi"/>
                <w:sz w:val="24"/>
                <w:szCs w:val="24"/>
              </w:rPr>
            </w:pPr>
            <w:bookmarkStart w:name="_Hlk137202840" w:id="4"/>
            <w:bookmarkEnd w:id="3"/>
            <w:r w:rsidRPr="6305B8F6">
              <w:rPr>
                <w:sz w:val="24"/>
                <w:szCs w:val="24"/>
              </w:rPr>
              <w:t>Leave and absence</w:t>
            </w:r>
            <w:r w:rsidRPr="6305B8F6" w:rsidR="1225F218">
              <w:rPr>
                <w:sz w:val="24"/>
                <w:szCs w:val="24"/>
              </w:rPr>
              <w:t>, including sick leave</w:t>
            </w:r>
            <w:r w:rsidRPr="6305B8F6">
              <w:rPr>
                <w:sz w:val="24"/>
                <w:szCs w:val="24"/>
              </w:rPr>
              <w:t xml:space="preserve"> records</w:t>
            </w:r>
          </w:p>
        </w:tc>
        <w:tc>
          <w:tcPr>
            <w:tcW w:w="3474" w:type="dxa"/>
            <w:shd w:val="clear" w:color="auto" w:fill="auto"/>
          </w:tcPr>
          <w:p w:rsidRPr="00734220" w:rsidR="008A617B" w:rsidP="5D1D556F" w:rsidRDefault="38128BD0" w14:paraId="134C0043" w14:textId="77777777">
            <w:pPr>
              <w:pStyle w:val="TableParagraph"/>
              <w:rPr>
                <w:rFonts w:cstheme="minorBidi"/>
                <w:sz w:val="24"/>
                <w:szCs w:val="24"/>
              </w:rPr>
            </w:pPr>
            <w:r w:rsidRPr="5D1D556F">
              <w:rPr>
                <w:sz w:val="24"/>
                <w:szCs w:val="24"/>
              </w:rPr>
              <w:t>6 years</w:t>
            </w:r>
          </w:p>
        </w:tc>
        <w:tc>
          <w:tcPr>
            <w:tcW w:w="3475" w:type="dxa"/>
            <w:shd w:val="clear" w:color="auto" w:fill="auto"/>
          </w:tcPr>
          <w:p w:rsidRPr="00734220" w:rsidR="008A617B" w:rsidP="5D1D556F" w:rsidRDefault="38128BD0" w14:paraId="65B2D185" w14:textId="77777777">
            <w:pPr>
              <w:pStyle w:val="TableParagraph"/>
              <w:rPr>
                <w:rFonts w:cstheme="minorBidi"/>
                <w:sz w:val="24"/>
                <w:szCs w:val="24"/>
              </w:rPr>
            </w:pPr>
            <w:r w:rsidRPr="5D1D556F">
              <w:rPr>
                <w:sz w:val="24"/>
                <w:szCs w:val="24"/>
              </w:rPr>
              <w:t xml:space="preserve">May be relevant to claims of under-payment, unlawful </w:t>
            </w:r>
            <w:proofErr w:type="gramStart"/>
            <w:r w:rsidRPr="5D1D556F">
              <w:rPr>
                <w:sz w:val="24"/>
                <w:szCs w:val="24"/>
              </w:rPr>
              <w:t>deductions</w:t>
            </w:r>
            <w:proofErr w:type="gramEnd"/>
            <w:r w:rsidRPr="5D1D556F">
              <w:rPr>
                <w:sz w:val="24"/>
                <w:szCs w:val="24"/>
              </w:rPr>
              <w:t xml:space="preserve"> or breach of contract Section 5 Limitation Act 1980</w:t>
            </w:r>
          </w:p>
        </w:tc>
      </w:tr>
      <w:tr w:rsidRPr="00734220" w:rsidR="008A617B" w:rsidTr="6305B8F6" w14:paraId="3D57E7E3" w14:textId="77777777">
        <w:trPr>
          <w:trHeight w:val="340"/>
        </w:trPr>
        <w:tc>
          <w:tcPr>
            <w:tcW w:w="3481" w:type="dxa"/>
            <w:shd w:val="clear" w:color="auto" w:fill="auto"/>
          </w:tcPr>
          <w:p w:rsidRPr="00734220" w:rsidR="008A617B" w:rsidP="5D1D556F" w:rsidRDefault="38128BD0" w14:paraId="2394AC38" w14:textId="77777777">
            <w:pPr>
              <w:pStyle w:val="TableParagraph"/>
              <w:rPr>
                <w:rFonts w:cstheme="minorBidi"/>
                <w:sz w:val="24"/>
                <w:szCs w:val="24"/>
              </w:rPr>
            </w:pPr>
            <w:r w:rsidRPr="5D1D556F">
              <w:rPr>
                <w:sz w:val="24"/>
                <w:szCs w:val="24"/>
              </w:rPr>
              <w:t>Registration of work and rest periods if required if an obligation exists to show compliance</w:t>
            </w:r>
          </w:p>
        </w:tc>
        <w:tc>
          <w:tcPr>
            <w:tcW w:w="3474" w:type="dxa"/>
            <w:shd w:val="clear" w:color="auto" w:fill="auto"/>
          </w:tcPr>
          <w:p w:rsidRPr="00734220" w:rsidR="008A617B" w:rsidP="5D1D556F" w:rsidRDefault="38128BD0" w14:paraId="199F9E03" w14:textId="77777777">
            <w:pPr>
              <w:pStyle w:val="TableParagraph"/>
              <w:rPr>
                <w:rFonts w:cstheme="minorBidi"/>
                <w:sz w:val="24"/>
                <w:szCs w:val="24"/>
              </w:rPr>
            </w:pPr>
            <w:r w:rsidRPr="5D1D556F">
              <w:rPr>
                <w:sz w:val="24"/>
                <w:szCs w:val="24"/>
              </w:rPr>
              <w:t>Minimum retention period 2 years</w:t>
            </w:r>
          </w:p>
        </w:tc>
        <w:tc>
          <w:tcPr>
            <w:tcW w:w="3475" w:type="dxa"/>
            <w:shd w:val="clear" w:color="auto" w:fill="auto"/>
          </w:tcPr>
          <w:p w:rsidRPr="00734220" w:rsidR="008A617B" w:rsidP="5D1D556F" w:rsidRDefault="38128BD0" w14:paraId="1B7D9F60" w14:textId="77777777">
            <w:pPr>
              <w:pStyle w:val="TableParagraph"/>
              <w:rPr>
                <w:rFonts w:cstheme="minorBidi"/>
                <w:sz w:val="24"/>
                <w:szCs w:val="24"/>
              </w:rPr>
            </w:pPr>
            <w:r w:rsidRPr="5D1D556F">
              <w:rPr>
                <w:sz w:val="24"/>
                <w:szCs w:val="24"/>
              </w:rPr>
              <w:t>Working Time Regulations 1998</w:t>
            </w:r>
          </w:p>
        </w:tc>
      </w:tr>
      <w:bookmarkEnd w:id="4"/>
      <w:tr w:rsidRPr="00734220" w:rsidR="00851055" w:rsidTr="6305B8F6" w14:paraId="4E95BA83" w14:textId="77777777">
        <w:trPr>
          <w:trHeight w:val="80"/>
        </w:trPr>
        <w:tc>
          <w:tcPr>
            <w:tcW w:w="3481" w:type="dxa"/>
            <w:shd w:val="clear" w:color="auto" w:fill="auto"/>
          </w:tcPr>
          <w:p w:rsidRPr="00734220" w:rsidR="00851055" w:rsidP="6305B8F6" w:rsidRDefault="2ABC6DA8" w14:paraId="3E96D28D" w14:textId="4A753700">
            <w:pPr>
              <w:pStyle w:val="TableParagraph"/>
              <w:rPr>
                <w:rFonts w:cstheme="minorBidi"/>
                <w:sz w:val="24"/>
                <w:szCs w:val="24"/>
              </w:rPr>
            </w:pPr>
            <w:r w:rsidRPr="6305B8F6">
              <w:rPr>
                <w:sz w:val="24"/>
                <w:szCs w:val="24"/>
              </w:rPr>
              <w:t>Essential medical data required for</w:t>
            </w:r>
            <w:r w:rsidRPr="6305B8F6" w:rsidR="7111FED9">
              <w:rPr>
                <w:sz w:val="24"/>
                <w:szCs w:val="24"/>
              </w:rPr>
              <w:t xml:space="preserve"> </w:t>
            </w:r>
            <w:r w:rsidRPr="6305B8F6">
              <w:rPr>
                <w:sz w:val="24"/>
                <w:szCs w:val="24"/>
              </w:rPr>
              <w:t>employment purposes</w:t>
            </w:r>
          </w:p>
        </w:tc>
        <w:tc>
          <w:tcPr>
            <w:tcW w:w="3474" w:type="dxa"/>
            <w:shd w:val="clear" w:color="auto" w:fill="auto"/>
          </w:tcPr>
          <w:p w:rsidRPr="00851055" w:rsidR="00851055" w:rsidP="5D1D556F" w:rsidRDefault="7674D37A" w14:paraId="3B1843A3" w14:textId="7C7404EF">
            <w:pPr>
              <w:pStyle w:val="TableParagraph"/>
              <w:rPr>
                <w:rFonts w:cstheme="minorBidi"/>
                <w:sz w:val="24"/>
                <w:szCs w:val="24"/>
              </w:rPr>
            </w:pPr>
            <w:r w:rsidRPr="5D1D556F">
              <w:rPr>
                <w:sz w:val="24"/>
                <w:szCs w:val="24"/>
              </w:rPr>
              <w:t>Length of employment plus 6 years.</w:t>
            </w:r>
          </w:p>
        </w:tc>
        <w:tc>
          <w:tcPr>
            <w:tcW w:w="3475" w:type="dxa"/>
            <w:shd w:val="clear" w:color="auto" w:fill="auto"/>
          </w:tcPr>
          <w:p w:rsidRPr="00734220" w:rsidR="00851055" w:rsidP="5D1D556F" w:rsidRDefault="71FB220F" w14:paraId="2CE7AAF1" w14:textId="10FEF365">
            <w:pPr>
              <w:pStyle w:val="TableParagraph"/>
              <w:rPr>
                <w:sz w:val="24"/>
                <w:szCs w:val="24"/>
              </w:rPr>
            </w:pPr>
            <w:r w:rsidRPr="6305B8F6">
              <w:rPr>
                <w:sz w:val="24"/>
                <w:szCs w:val="24"/>
              </w:rPr>
              <w:t>DPA 2018</w:t>
            </w:r>
          </w:p>
        </w:tc>
      </w:tr>
      <w:tr w:rsidRPr="00734220" w:rsidR="00851055" w:rsidTr="6305B8F6" w14:paraId="3613F22E" w14:textId="77777777">
        <w:trPr>
          <w:trHeight w:val="760"/>
        </w:trPr>
        <w:tc>
          <w:tcPr>
            <w:tcW w:w="3481" w:type="dxa"/>
            <w:shd w:val="clear" w:color="auto" w:fill="auto"/>
          </w:tcPr>
          <w:p w:rsidRPr="00851055" w:rsidR="00851055" w:rsidP="5D1D556F" w:rsidRDefault="7674D37A" w14:paraId="4EFE24C0" w14:textId="24BBEEF5">
            <w:pPr>
              <w:pStyle w:val="TableParagraph"/>
              <w:rPr>
                <w:rFonts w:cstheme="minorBidi"/>
                <w:sz w:val="24"/>
                <w:szCs w:val="24"/>
              </w:rPr>
            </w:pPr>
            <w:r w:rsidRPr="5D1D556F">
              <w:rPr>
                <w:sz w:val="24"/>
                <w:szCs w:val="24"/>
              </w:rPr>
              <w:t>Occupational health data and referrals</w:t>
            </w:r>
          </w:p>
        </w:tc>
        <w:tc>
          <w:tcPr>
            <w:tcW w:w="3474" w:type="dxa"/>
            <w:shd w:val="clear" w:color="auto" w:fill="auto"/>
          </w:tcPr>
          <w:p w:rsidRPr="00851055" w:rsidR="00851055" w:rsidP="5D1D556F" w:rsidRDefault="7674D37A" w14:paraId="06D4AD99" w14:textId="3BB80160">
            <w:pPr>
              <w:pStyle w:val="TableParagraph"/>
              <w:rPr>
                <w:rFonts w:cstheme="minorBidi"/>
                <w:sz w:val="24"/>
                <w:szCs w:val="24"/>
              </w:rPr>
            </w:pPr>
            <w:r w:rsidRPr="5D1D556F">
              <w:rPr>
                <w:sz w:val="24"/>
                <w:szCs w:val="24"/>
              </w:rPr>
              <w:t>Length of employment plus 6 years.</w:t>
            </w:r>
          </w:p>
        </w:tc>
        <w:tc>
          <w:tcPr>
            <w:tcW w:w="3475" w:type="dxa"/>
            <w:shd w:val="clear" w:color="auto" w:fill="auto"/>
          </w:tcPr>
          <w:p w:rsidRPr="00734220" w:rsidR="00851055" w:rsidP="6305B8F6" w:rsidRDefault="32378068" w14:paraId="281483E0" w14:textId="5838932B">
            <w:pPr>
              <w:pStyle w:val="TableParagraph"/>
              <w:rPr>
                <w:rFonts w:asciiTheme="minorHAnsi" w:hAnsiTheme="minorHAnsi" w:eastAsiaTheme="minorEastAsia" w:cstheme="minorBidi"/>
                <w:color w:val="040C28"/>
                <w:sz w:val="24"/>
                <w:szCs w:val="24"/>
              </w:rPr>
            </w:pPr>
            <w:r w:rsidRPr="6305B8F6">
              <w:rPr>
                <w:rFonts w:asciiTheme="minorHAnsi" w:hAnsiTheme="minorHAnsi" w:eastAsiaTheme="minorEastAsia" w:cstheme="minorBidi"/>
                <w:color w:val="040C28"/>
                <w:sz w:val="24"/>
                <w:szCs w:val="24"/>
              </w:rPr>
              <w:t>The Health and Safety at Work Act 1974</w:t>
            </w:r>
          </w:p>
        </w:tc>
      </w:tr>
      <w:tr w:rsidRPr="00734220" w:rsidR="00851055" w:rsidTr="6305B8F6" w14:paraId="3EB6EF34" w14:textId="77777777">
        <w:tc>
          <w:tcPr>
            <w:tcW w:w="3481" w:type="dxa"/>
            <w:shd w:val="clear" w:color="auto" w:fill="auto"/>
          </w:tcPr>
          <w:p w:rsidRPr="00734220" w:rsidR="00851055" w:rsidP="5D1D556F" w:rsidRDefault="7674D37A" w14:paraId="077979A2" w14:textId="77777777">
            <w:pPr>
              <w:pStyle w:val="TableParagraph"/>
              <w:rPr>
                <w:rFonts w:cstheme="minorBidi"/>
                <w:sz w:val="24"/>
                <w:szCs w:val="24"/>
              </w:rPr>
            </w:pPr>
            <w:r w:rsidRPr="5D1D556F">
              <w:rPr>
                <w:sz w:val="24"/>
                <w:szCs w:val="24"/>
              </w:rPr>
              <w:t>Pension-related records</w:t>
            </w:r>
          </w:p>
        </w:tc>
        <w:tc>
          <w:tcPr>
            <w:tcW w:w="3474" w:type="dxa"/>
            <w:shd w:val="clear" w:color="auto" w:fill="auto"/>
          </w:tcPr>
          <w:p w:rsidRPr="00734220" w:rsidR="00851055" w:rsidP="5D1D556F" w:rsidRDefault="287DF31E" w14:paraId="2890B78E" w14:textId="1AB9046A">
            <w:pPr>
              <w:pStyle w:val="TableParagraph"/>
            </w:pPr>
            <w:r w:rsidRPr="6305B8F6">
              <w:t>12 years from the end of any payable benefit.</w:t>
            </w:r>
          </w:p>
        </w:tc>
        <w:tc>
          <w:tcPr>
            <w:tcW w:w="3475" w:type="dxa"/>
            <w:shd w:val="clear" w:color="auto" w:fill="auto"/>
          </w:tcPr>
          <w:p w:rsidRPr="00734220" w:rsidR="00851055" w:rsidP="5D1D556F" w:rsidRDefault="7674D37A" w14:paraId="52DE8C3D" w14:textId="77777777">
            <w:pPr>
              <w:pStyle w:val="TableParagraph"/>
              <w:rPr>
                <w:rFonts w:cstheme="minorBidi"/>
                <w:sz w:val="24"/>
                <w:szCs w:val="24"/>
              </w:rPr>
            </w:pPr>
            <w:r w:rsidRPr="5D1D556F">
              <w:rPr>
                <w:sz w:val="24"/>
                <w:szCs w:val="24"/>
              </w:rPr>
              <w:t>Consult pension provider</w:t>
            </w:r>
          </w:p>
        </w:tc>
      </w:tr>
      <w:tr w:rsidRPr="00734220" w:rsidR="00851055" w:rsidTr="6305B8F6" w14:paraId="69C7BD86" w14:textId="77777777">
        <w:tc>
          <w:tcPr>
            <w:tcW w:w="3481" w:type="dxa"/>
            <w:shd w:val="clear" w:color="auto" w:fill="auto"/>
          </w:tcPr>
          <w:p w:rsidRPr="00734220" w:rsidR="00851055" w:rsidP="5D1D556F" w:rsidRDefault="7674D37A" w14:paraId="202EC5EF" w14:textId="3B411D38">
            <w:pPr>
              <w:pStyle w:val="TableParagraph"/>
              <w:rPr>
                <w:rFonts w:cstheme="minorBidi"/>
                <w:sz w:val="24"/>
                <w:szCs w:val="24"/>
              </w:rPr>
            </w:pPr>
            <w:r w:rsidRPr="5D1D556F">
              <w:rPr>
                <w:sz w:val="24"/>
                <w:szCs w:val="24"/>
              </w:rPr>
              <w:t>Performance records (such as training or appraisal)</w:t>
            </w:r>
          </w:p>
        </w:tc>
        <w:tc>
          <w:tcPr>
            <w:tcW w:w="3474" w:type="dxa"/>
            <w:shd w:val="clear" w:color="auto" w:fill="auto"/>
          </w:tcPr>
          <w:p w:rsidRPr="00734220" w:rsidR="00851055" w:rsidP="5D1D556F" w:rsidRDefault="7674D37A" w14:paraId="3D6C26FC" w14:textId="77777777">
            <w:pPr>
              <w:pStyle w:val="TableParagraph"/>
              <w:rPr>
                <w:rFonts w:cstheme="minorBidi"/>
                <w:sz w:val="24"/>
                <w:szCs w:val="24"/>
              </w:rPr>
            </w:pPr>
            <w:r w:rsidRPr="5D1D556F">
              <w:rPr>
                <w:sz w:val="24"/>
                <w:szCs w:val="24"/>
              </w:rPr>
              <w:t>6 years after employment ends</w:t>
            </w:r>
          </w:p>
        </w:tc>
        <w:tc>
          <w:tcPr>
            <w:tcW w:w="3475" w:type="dxa"/>
            <w:shd w:val="clear" w:color="auto" w:fill="auto"/>
          </w:tcPr>
          <w:p w:rsidRPr="00734220" w:rsidR="00851055" w:rsidP="5D1D556F" w:rsidRDefault="7674D37A" w14:paraId="79205E1F" w14:textId="4CE798FD">
            <w:pPr>
              <w:pStyle w:val="TableParagraph"/>
              <w:rPr>
                <w:rFonts w:cstheme="minorBidi"/>
                <w:sz w:val="24"/>
                <w:szCs w:val="24"/>
              </w:rPr>
            </w:pPr>
            <w:r w:rsidRPr="5D1D556F">
              <w:rPr>
                <w:sz w:val="24"/>
                <w:szCs w:val="24"/>
              </w:rPr>
              <w:t>The time limit for a legal claim</w:t>
            </w:r>
          </w:p>
        </w:tc>
      </w:tr>
      <w:tr w:rsidR="6305B8F6" w:rsidTr="6305B8F6" w14:paraId="605DA425" w14:textId="77777777">
        <w:trPr>
          <w:trHeight w:val="300"/>
        </w:trPr>
        <w:tc>
          <w:tcPr>
            <w:tcW w:w="3481" w:type="dxa"/>
            <w:shd w:val="clear" w:color="auto" w:fill="auto"/>
          </w:tcPr>
          <w:p w:rsidR="4B161B6F" w:rsidP="6305B8F6" w:rsidRDefault="4B161B6F" w14:paraId="5D905BC5" w14:textId="261CA7DB">
            <w:pPr>
              <w:pStyle w:val="TableParagraph"/>
              <w:rPr>
                <w:rFonts w:asciiTheme="minorHAnsi" w:hAnsiTheme="minorHAnsi" w:eastAsiaTheme="minorEastAsia" w:cstheme="minorBidi"/>
                <w:sz w:val="24"/>
                <w:szCs w:val="24"/>
              </w:rPr>
            </w:pPr>
            <w:r w:rsidRPr="6305B8F6">
              <w:rPr>
                <w:rFonts w:asciiTheme="minorHAnsi" w:hAnsiTheme="minorHAnsi" w:eastAsiaTheme="minorEastAsia" w:cstheme="minorBidi"/>
                <w:sz w:val="24"/>
                <w:szCs w:val="24"/>
              </w:rPr>
              <w:t>Maternity and paternity records</w:t>
            </w:r>
          </w:p>
        </w:tc>
        <w:tc>
          <w:tcPr>
            <w:tcW w:w="3474" w:type="dxa"/>
            <w:shd w:val="clear" w:color="auto" w:fill="auto"/>
          </w:tcPr>
          <w:p w:rsidR="4B161B6F" w:rsidP="6305B8F6" w:rsidRDefault="4B161B6F" w14:paraId="54BBF7DE" w14:textId="18ECBE28">
            <w:pPr>
              <w:pStyle w:val="TableParagraph"/>
              <w:rPr>
                <w:rFonts w:asciiTheme="minorHAnsi" w:hAnsiTheme="minorHAnsi" w:eastAsiaTheme="minorEastAsia" w:cstheme="minorBidi"/>
                <w:sz w:val="24"/>
                <w:szCs w:val="24"/>
              </w:rPr>
            </w:pPr>
            <w:r w:rsidRPr="6305B8F6">
              <w:rPr>
                <w:rFonts w:asciiTheme="minorHAnsi" w:hAnsiTheme="minorHAnsi" w:eastAsiaTheme="minorEastAsia" w:cstheme="minorBidi"/>
                <w:sz w:val="24"/>
                <w:szCs w:val="24"/>
              </w:rPr>
              <w:t>5 years from birth or adoption</w:t>
            </w:r>
          </w:p>
        </w:tc>
        <w:tc>
          <w:tcPr>
            <w:tcW w:w="3475" w:type="dxa"/>
            <w:shd w:val="clear" w:color="auto" w:fill="auto"/>
          </w:tcPr>
          <w:p w:rsidR="4B161B6F" w:rsidP="6305B8F6" w:rsidRDefault="4B161B6F" w14:paraId="6AFA804F" w14:textId="665B2A5B">
            <w:pPr>
              <w:pStyle w:val="TableParagraph"/>
              <w:rPr>
                <w:rFonts w:asciiTheme="minorHAnsi" w:hAnsiTheme="minorHAnsi" w:eastAsiaTheme="minorEastAsia" w:cstheme="minorBidi"/>
                <w:color w:val="040C28"/>
                <w:sz w:val="24"/>
                <w:szCs w:val="24"/>
              </w:rPr>
            </w:pPr>
            <w:r w:rsidRPr="6305B8F6">
              <w:rPr>
                <w:rFonts w:asciiTheme="minorHAnsi" w:hAnsiTheme="minorHAnsi" w:eastAsiaTheme="minorEastAsia" w:cstheme="minorBidi"/>
                <w:color w:val="040C28"/>
                <w:sz w:val="24"/>
                <w:szCs w:val="24"/>
              </w:rPr>
              <w:t>Employment Rights Act 1996</w:t>
            </w:r>
          </w:p>
        </w:tc>
      </w:tr>
      <w:tr w:rsidR="6305B8F6" w:rsidTr="6305B8F6" w14:paraId="59A0F8F2" w14:textId="77777777">
        <w:trPr>
          <w:trHeight w:val="300"/>
        </w:trPr>
        <w:tc>
          <w:tcPr>
            <w:tcW w:w="3481" w:type="dxa"/>
            <w:shd w:val="clear" w:color="auto" w:fill="auto"/>
          </w:tcPr>
          <w:p w:rsidR="0D5482D4" w:rsidP="6305B8F6" w:rsidRDefault="0D5482D4" w14:paraId="211FAF0A" w14:textId="36698687">
            <w:pPr>
              <w:pStyle w:val="TableParagraph"/>
              <w:rPr>
                <w:rFonts w:asciiTheme="minorHAnsi" w:hAnsiTheme="minorHAnsi" w:eastAsiaTheme="minorEastAsia" w:cstheme="minorBidi"/>
                <w:sz w:val="24"/>
                <w:szCs w:val="24"/>
              </w:rPr>
            </w:pPr>
            <w:r w:rsidRPr="6305B8F6">
              <w:rPr>
                <w:rFonts w:asciiTheme="minorHAnsi" w:hAnsiTheme="minorHAnsi" w:eastAsiaTheme="minorEastAsia" w:cstheme="minorBidi"/>
                <w:sz w:val="24"/>
                <w:szCs w:val="24"/>
              </w:rPr>
              <w:lastRenderedPageBreak/>
              <w:t>TUPE records (for employees who have transferred employer)</w:t>
            </w:r>
          </w:p>
        </w:tc>
        <w:tc>
          <w:tcPr>
            <w:tcW w:w="3474" w:type="dxa"/>
            <w:shd w:val="clear" w:color="auto" w:fill="auto"/>
          </w:tcPr>
          <w:p w:rsidR="0D5482D4" w:rsidP="6305B8F6" w:rsidRDefault="0D5482D4" w14:paraId="260E7F95" w14:textId="7AF94EA5">
            <w:pPr>
              <w:pStyle w:val="TableParagraph"/>
              <w:rPr>
                <w:rFonts w:asciiTheme="minorHAnsi" w:hAnsiTheme="minorHAnsi" w:eastAsiaTheme="minorEastAsia" w:cstheme="minorBidi"/>
                <w:sz w:val="24"/>
                <w:szCs w:val="24"/>
              </w:rPr>
            </w:pPr>
            <w:r w:rsidRPr="6305B8F6">
              <w:rPr>
                <w:rFonts w:asciiTheme="minorHAnsi" w:hAnsiTheme="minorHAnsi" w:eastAsiaTheme="minorEastAsia" w:cstheme="minorBidi"/>
                <w:sz w:val="24"/>
                <w:szCs w:val="24"/>
              </w:rPr>
              <w:t>Length of employment plus 6 years</w:t>
            </w:r>
          </w:p>
        </w:tc>
        <w:tc>
          <w:tcPr>
            <w:tcW w:w="3475" w:type="dxa"/>
            <w:shd w:val="clear" w:color="auto" w:fill="auto"/>
          </w:tcPr>
          <w:p w:rsidR="4C7771E3" w:rsidP="6305B8F6" w:rsidRDefault="4C7771E3" w14:paraId="26CDEB46" w14:textId="5C7D0217">
            <w:pPr>
              <w:pStyle w:val="TableParagraph"/>
              <w:rPr>
                <w:rFonts w:asciiTheme="minorHAnsi" w:hAnsiTheme="minorHAnsi" w:eastAsiaTheme="minorEastAsia" w:cstheme="minorBidi"/>
                <w:color w:val="040C28"/>
                <w:sz w:val="24"/>
                <w:szCs w:val="24"/>
              </w:rPr>
            </w:pPr>
            <w:r w:rsidRPr="6305B8F6">
              <w:rPr>
                <w:rFonts w:asciiTheme="minorHAnsi" w:hAnsiTheme="minorHAnsi" w:eastAsiaTheme="minorEastAsia" w:cstheme="minorBidi"/>
                <w:color w:val="040C28"/>
                <w:sz w:val="24"/>
                <w:szCs w:val="24"/>
              </w:rPr>
              <w:t>Transfer of Undertakings (Protection of Employment) Regulations 2006</w:t>
            </w:r>
          </w:p>
        </w:tc>
      </w:tr>
      <w:tr w:rsidRPr="00734220" w:rsidR="00851055" w:rsidTr="6305B8F6" w14:paraId="72F4F0F1" w14:textId="77777777">
        <w:tc>
          <w:tcPr>
            <w:tcW w:w="3481" w:type="dxa"/>
            <w:shd w:val="clear" w:color="auto" w:fill="auto"/>
          </w:tcPr>
          <w:p w:rsidRPr="00734220" w:rsidR="00851055" w:rsidP="5D1D556F" w:rsidRDefault="7674D37A" w14:paraId="668D1883" w14:textId="068F1C66">
            <w:pPr>
              <w:pStyle w:val="TableParagraph"/>
              <w:rPr>
                <w:rFonts w:cstheme="minorBidi"/>
                <w:sz w:val="24"/>
                <w:szCs w:val="24"/>
              </w:rPr>
            </w:pPr>
            <w:r w:rsidRPr="5D1D556F">
              <w:rPr>
                <w:sz w:val="24"/>
                <w:szCs w:val="24"/>
              </w:rPr>
              <w:t>Disciplinary records</w:t>
            </w:r>
          </w:p>
        </w:tc>
        <w:tc>
          <w:tcPr>
            <w:tcW w:w="3474" w:type="dxa"/>
            <w:shd w:val="clear" w:color="auto" w:fill="auto"/>
          </w:tcPr>
          <w:p w:rsidRPr="00734220" w:rsidR="00851055" w:rsidP="5D1D556F" w:rsidRDefault="7674D37A" w14:paraId="4DF2511A" w14:textId="77777777">
            <w:pPr>
              <w:pStyle w:val="TableParagraph"/>
              <w:rPr>
                <w:rFonts w:cstheme="minorBidi"/>
                <w:sz w:val="24"/>
                <w:szCs w:val="24"/>
              </w:rPr>
            </w:pPr>
            <w:r w:rsidRPr="5D1D556F">
              <w:rPr>
                <w:sz w:val="24"/>
                <w:szCs w:val="24"/>
              </w:rPr>
              <w:t>6 years after employment ends</w:t>
            </w:r>
          </w:p>
        </w:tc>
        <w:tc>
          <w:tcPr>
            <w:tcW w:w="3475" w:type="dxa"/>
            <w:shd w:val="clear" w:color="auto" w:fill="auto"/>
          </w:tcPr>
          <w:p w:rsidRPr="00734220" w:rsidR="00851055" w:rsidP="5D1D556F" w:rsidRDefault="7674D37A" w14:paraId="641E216B" w14:textId="4751B68D">
            <w:pPr>
              <w:pStyle w:val="TableParagraph"/>
              <w:rPr>
                <w:rFonts w:cstheme="minorBidi"/>
                <w:sz w:val="24"/>
                <w:szCs w:val="24"/>
              </w:rPr>
            </w:pPr>
            <w:r w:rsidRPr="5D1D556F">
              <w:rPr>
                <w:sz w:val="24"/>
                <w:szCs w:val="24"/>
              </w:rPr>
              <w:t>The time limit for a legal claim</w:t>
            </w:r>
          </w:p>
        </w:tc>
      </w:tr>
    </w:tbl>
    <w:p w:rsidR="00BF64F7" w:rsidP="5D1D556F" w:rsidRDefault="00BF64F7" w14:paraId="6B4EB39F" w14:textId="77777777">
      <w:pPr>
        <w:shd w:val="clear" w:color="auto" w:fill="FFFFFF" w:themeFill="background1"/>
        <w:ind w:right="-1150"/>
        <w:rPr>
          <w:rFonts w:ascii="Calibri" w:hAnsi="Calibri" w:eastAsia="Calibri" w:cs="Calibri"/>
          <w:b/>
          <w:bCs/>
          <w:szCs w:val="24"/>
        </w:rPr>
      </w:pPr>
    </w:p>
    <w:p w:rsidRPr="00A3768D" w:rsidR="00BF64F7" w:rsidRDefault="00A3768D" w14:paraId="50526E1B" w14:textId="1843DB1D">
      <w:pPr>
        <w:pStyle w:val="Appendix1"/>
        <w:rPr/>
      </w:pPr>
      <w:bookmarkStart w:name="_Toc180415071" w:id="5"/>
      <w:bookmarkStart w:name="_Hlk137210796" w:id="6"/>
      <w:bookmarkEnd w:id="2"/>
      <w:r w:rsidR="00A3768D">
        <w:rPr/>
        <w:t>Finance</w:t>
      </w:r>
      <w:r w:rsidR="71D64423">
        <w:rPr/>
        <w:t>/ Payroll</w:t>
      </w:r>
      <w:bookmarkEnd w:id="5"/>
    </w:p>
    <w:tbl>
      <w:tblPr>
        <w:tblW w:w="1043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3481"/>
        <w:gridCol w:w="3474"/>
        <w:gridCol w:w="3475"/>
      </w:tblGrid>
      <w:tr w:rsidRPr="00734220" w:rsidR="00BF64F7" w:rsidTr="098D6404" w14:paraId="17CE09FF" w14:textId="77777777">
        <w:trPr>
          <w:trHeight w:val="540"/>
        </w:trPr>
        <w:tc>
          <w:tcPr>
            <w:tcW w:w="3481" w:type="dxa"/>
            <w:shd w:val="clear" w:color="auto" w:fill="C6D9F1" w:themeFill="text2" w:themeFillTint="33"/>
          </w:tcPr>
          <w:p w:rsidRPr="00734220" w:rsidR="00BF64F7" w:rsidRDefault="00DD1DD8" w14:paraId="5682AB4D" w14:textId="77777777">
            <w:pPr>
              <w:jc w:val="center"/>
              <w:rPr>
                <w:rFonts w:ascii="Calibri" w:hAnsi="Calibri" w:eastAsia="Calibri" w:cs="Calibri"/>
                <w:b/>
                <w:szCs w:val="24"/>
              </w:rPr>
            </w:pPr>
            <w:r w:rsidRPr="00734220">
              <w:rPr>
                <w:rFonts w:ascii="Calibri" w:hAnsi="Calibri" w:eastAsia="Calibri" w:cs="Calibri"/>
                <w:b/>
                <w:szCs w:val="24"/>
              </w:rPr>
              <w:t>Type of Material</w:t>
            </w:r>
          </w:p>
          <w:p w:rsidRPr="00734220" w:rsidR="00BF64F7" w:rsidRDefault="00BF64F7" w14:paraId="6DF294B8" w14:textId="6C98EA79">
            <w:pPr>
              <w:jc w:val="center"/>
              <w:rPr>
                <w:rFonts w:ascii="Calibri" w:hAnsi="Calibri" w:eastAsia="Calibri" w:cs="Calibri"/>
                <w:b/>
                <w:szCs w:val="24"/>
              </w:rPr>
            </w:pPr>
          </w:p>
        </w:tc>
        <w:tc>
          <w:tcPr>
            <w:tcW w:w="3474" w:type="dxa"/>
            <w:shd w:val="clear" w:color="auto" w:fill="C6D9F1" w:themeFill="text2" w:themeFillTint="33"/>
          </w:tcPr>
          <w:p w:rsidRPr="00734220" w:rsidR="00BF64F7" w:rsidRDefault="00DD1DD8" w14:paraId="0E403854" w14:textId="77777777">
            <w:pPr>
              <w:jc w:val="center"/>
              <w:rPr>
                <w:rFonts w:ascii="Calibri" w:hAnsi="Calibri" w:eastAsia="Calibri" w:cs="Calibri"/>
                <w:b/>
                <w:szCs w:val="24"/>
              </w:rPr>
            </w:pPr>
            <w:r w:rsidRPr="00734220">
              <w:rPr>
                <w:rFonts w:ascii="Calibri" w:hAnsi="Calibri" w:eastAsia="Calibri" w:cs="Calibri"/>
                <w:b/>
                <w:szCs w:val="24"/>
              </w:rPr>
              <w:t>Minimum Retention Period</w:t>
            </w:r>
          </w:p>
        </w:tc>
        <w:tc>
          <w:tcPr>
            <w:tcW w:w="3475" w:type="dxa"/>
            <w:shd w:val="clear" w:color="auto" w:fill="C6D9F1" w:themeFill="text2" w:themeFillTint="33"/>
          </w:tcPr>
          <w:p w:rsidRPr="00734220" w:rsidR="00BF64F7" w:rsidRDefault="00DD1DD8" w14:paraId="50BDAE21" w14:textId="77777777">
            <w:pPr>
              <w:jc w:val="center"/>
              <w:rPr>
                <w:rFonts w:ascii="Calibri" w:hAnsi="Calibri" w:eastAsia="Calibri" w:cs="Calibri"/>
                <w:b/>
                <w:szCs w:val="24"/>
              </w:rPr>
            </w:pPr>
            <w:r w:rsidRPr="00734220">
              <w:rPr>
                <w:rFonts w:ascii="Calibri" w:hAnsi="Calibri" w:eastAsia="Calibri" w:cs="Calibri"/>
                <w:b/>
                <w:szCs w:val="24"/>
              </w:rPr>
              <w:t>Reason</w:t>
            </w:r>
          </w:p>
        </w:tc>
      </w:tr>
      <w:tr w:rsidRPr="00734220" w:rsidR="00791B08" w:rsidTr="098D6404" w14:paraId="785D2EAA" w14:textId="77777777">
        <w:tc>
          <w:tcPr>
            <w:tcW w:w="3481" w:type="dxa"/>
          </w:tcPr>
          <w:p w:rsidRPr="00734220" w:rsidR="00791B08" w:rsidP="6305B8F6" w:rsidRDefault="1EA268B8" w14:paraId="530B1257" w14:textId="6DD3A0C9">
            <w:pPr>
              <w:pStyle w:val="TableParagraph"/>
              <w:rPr>
                <w:sz w:val="24"/>
                <w:szCs w:val="24"/>
              </w:rPr>
            </w:pPr>
            <w:r w:rsidRPr="6305B8F6">
              <w:rPr>
                <w:sz w:val="24"/>
                <w:szCs w:val="24"/>
              </w:rPr>
              <w:t>Accounting records (</w:t>
            </w:r>
            <w:proofErr w:type="gramStart"/>
            <w:r w:rsidRPr="6305B8F6">
              <w:rPr>
                <w:sz w:val="24"/>
                <w:szCs w:val="24"/>
              </w:rPr>
              <w:t>including;</w:t>
            </w:r>
            <w:proofErr w:type="gramEnd"/>
            <w:r w:rsidRPr="6305B8F6">
              <w:rPr>
                <w:sz w:val="24"/>
                <w:szCs w:val="24"/>
              </w:rPr>
              <w:t xml:space="preserve"> bank statements and reconciliations; payment and receipt records; </w:t>
            </w:r>
            <w:r w:rsidR="00934B72">
              <w:rPr>
                <w:sz w:val="24"/>
                <w:szCs w:val="24"/>
              </w:rPr>
              <w:t>supplier/accounts</w:t>
            </w:r>
            <w:r w:rsidRPr="6305B8F6">
              <w:rPr>
                <w:sz w:val="24"/>
                <w:szCs w:val="24"/>
              </w:rPr>
              <w:t xml:space="preserve"> payable invoices; </w:t>
            </w:r>
            <w:r w:rsidR="00934B72">
              <w:rPr>
                <w:sz w:val="24"/>
                <w:szCs w:val="24"/>
              </w:rPr>
              <w:t>customer/accounts</w:t>
            </w:r>
            <w:r w:rsidRPr="6305B8F6">
              <w:rPr>
                <w:sz w:val="24"/>
                <w:szCs w:val="24"/>
              </w:rPr>
              <w:t xml:space="preserve"> receivable invoices; customer debit notes; purchase and sales ledger; </w:t>
            </w:r>
            <w:r w:rsidR="00934B72">
              <w:rPr>
                <w:sz w:val="24"/>
                <w:szCs w:val="24"/>
              </w:rPr>
              <w:t xml:space="preserve">and </w:t>
            </w:r>
            <w:r w:rsidRPr="6305B8F6">
              <w:rPr>
                <w:sz w:val="24"/>
                <w:szCs w:val="24"/>
              </w:rPr>
              <w:t>employee expense records)</w:t>
            </w:r>
          </w:p>
        </w:tc>
        <w:tc>
          <w:tcPr>
            <w:tcW w:w="3474" w:type="dxa"/>
          </w:tcPr>
          <w:p w:rsidRPr="003169DC" w:rsidR="00791B08" w:rsidP="6305B8F6" w:rsidRDefault="1EA268B8" w14:paraId="6ACB74C9" w14:textId="6157BE4E">
            <w:pPr>
              <w:pStyle w:val="TableParagraph"/>
              <w:rPr>
                <w:sz w:val="24"/>
                <w:szCs w:val="24"/>
              </w:rPr>
            </w:pPr>
            <w:r w:rsidRPr="6305B8F6">
              <w:rPr>
                <w:sz w:val="24"/>
                <w:szCs w:val="24"/>
              </w:rPr>
              <w:t>3 years from financial year end for private companies 7 years from financial year end for public limited companies Complete audit should be held for 10 years or as required for risk register purposes, or to the end of any tax enquiry, if longer.</w:t>
            </w:r>
          </w:p>
        </w:tc>
        <w:tc>
          <w:tcPr>
            <w:tcW w:w="3475" w:type="dxa"/>
          </w:tcPr>
          <w:p w:rsidR="00791B08" w:rsidP="6305B8F6" w:rsidRDefault="1EA268B8" w14:paraId="1A4C336A" w14:textId="5AEF8D67">
            <w:pPr>
              <w:pStyle w:val="TableParagraph"/>
              <w:rPr>
                <w:sz w:val="24"/>
                <w:szCs w:val="24"/>
              </w:rPr>
            </w:pPr>
            <w:r w:rsidRPr="6305B8F6">
              <w:rPr>
                <w:sz w:val="24"/>
                <w:szCs w:val="24"/>
              </w:rPr>
              <w:t>Companies Act 1985 as amended by the Companies Acts 1989 &amp; 2006. Generally Accepted Accounting Practice (UK GAAP).</w:t>
            </w:r>
          </w:p>
        </w:tc>
      </w:tr>
      <w:tr w:rsidRPr="00734220" w:rsidR="00791B08" w:rsidTr="098D6404" w14:paraId="27940F06" w14:textId="77777777">
        <w:tc>
          <w:tcPr>
            <w:tcW w:w="3481" w:type="dxa"/>
          </w:tcPr>
          <w:p w:rsidRPr="003169DC" w:rsidR="00791B08" w:rsidP="5D1D556F" w:rsidRDefault="6B5B4247" w14:paraId="12C541BF" w14:textId="5DF3BB24">
            <w:pPr>
              <w:pStyle w:val="TableParagraph"/>
              <w:rPr>
                <w:sz w:val="24"/>
                <w:szCs w:val="24"/>
              </w:rPr>
            </w:pPr>
            <w:r w:rsidRPr="5D1D556F">
              <w:rPr>
                <w:sz w:val="24"/>
                <w:szCs w:val="24"/>
              </w:rPr>
              <w:t>Financial (including audit) import/export</w:t>
            </w:r>
          </w:p>
        </w:tc>
        <w:tc>
          <w:tcPr>
            <w:tcW w:w="3474" w:type="dxa"/>
          </w:tcPr>
          <w:p w:rsidRPr="003169DC" w:rsidR="00791B08" w:rsidP="5D1D556F" w:rsidRDefault="6B5B4247" w14:paraId="3477F7A8" w14:textId="7CD96E84">
            <w:pPr>
              <w:pStyle w:val="TableParagraph"/>
              <w:rPr>
                <w:sz w:val="24"/>
                <w:szCs w:val="24"/>
              </w:rPr>
            </w:pPr>
            <w:r w:rsidRPr="5D1D556F">
              <w:rPr>
                <w:sz w:val="24"/>
                <w:szCs w:val="24"/>
              </w:rPr>
              <w:t>7 years from financial year end (statutory limitation period).</w:t>
            </w:r>
          </w:p>
        </w:tc>
        <w:tc>
          <w:tcPr>
            <w:tcW w:w="3475" w:type="dxa"/>
          </w:tcPr>
          <w:p w:rsidR="00791B08" w:rsidP="6305B8F6" w:rsidRDefault="2777DAD0" w14:paraId="7964B581" w14:textId="60BD42AF">
            <w:pPr>
              <w:pStyle w:val="TableParagraph"/>
            </w:pPr>
            <w:r w:rsidRPr="6305B8F6">
              <w:rPr>
                <w:sz w:val="24"/>
                <w:szCs w:val="24"/>
              </w:rPr>
              <w:t>As above</w:t>
            </w:r>
          </w:p>
        </w:tc>
      </w:tr>
      <w:tr w:rsidR="6305B8F6" w:rsidTr="098D6404" w14:paraId="1FF79DB7" w14:textId="77777777">
        <w:trPr>
          <w:trHeight w:val="300"/>
        </w:trPr>
        <w:tc>
          <w:tcPr>
            <w:tcW w:w="3481" w:type="dxa"/>
          </w:tcPr>
          <w:p w:rsidR="6305B8F6" w:rsidP="6305B8F6" w:rsidRDefault="6305B8F6" w14:paraId="48C071C0" w14:textId="1EA85F5D">
            <w:pPr>
              <w:pStyle w:val="TableParagraph"/>
              <w:rPr>
                <w:sz w:val="24"/>
                <w:szCs w:val="24"/>
              </w:rPr>
            </w:pPr>
            <w:r w:rsidRPr="6305B8F6">
              <w:rPr>
                <w:sz w:val="24"/>
                <w:szCs w:val="24"/>
              </w:rPr>
              <w:t>Accounting record (including audit): Taxation</w:t>
            </w:r>
          </w:p>
        </w:tc>
        <w:tc>
          <w:tcPr>
            <w:tcW w:w="3474" w:type="dxa"/>
          </w:tcPr>
          <w:p w:rsidR="6305B8F6" w:rsidP="6305B8F6" w:rsidRDefault="6305B8F6" w14:paraId="3216A98E" w14:textId="39510AF2">
            <w:pPr>
              <w:pStyle w:val="TableParagraph"/>
              <w:rPr>
                <w:sz w:val="24"/>
                <w:szCs w:val="24"/>
              </w:rPr>
            </w:pPr>
            <w:r w:rsidRPr="6305B8F6">
              <w:rPr>
                <w:sz w:val="24"/>
                <w:szCs w:val="24"/>
              </w:rPr>
              <w:t>10 years from tax year end or as required in the event of a tax investigation</w:t>
            </w:r>
          </w:p>
        </w:tc>
        <w:tc>
          <w:tcPr>
            <w:tcW w:w="3475" w:type="dxa"/>
          </w:tcPr>
          <w:p w:rsidR="3DC72452" w:rsidP="6305B8F6" w:rsidRDefault="3DC72452" w14:paraId="225C7A17" w14:textId="5A890D34">
            <w:pPr>
              <w:pStyle w:val="TableParagraph"/>
              <w:rPr>
                <w:sz w:val="24"/>
                <w:szCs w:val="24"/>
              </w:rPr>
            </w:pPr>
            <w:r w:rsidRPr="6305B8F6">
              <w:rPr>
                <w:sz w:val="24"/>
                <w:szCs w:val="24"/>
              </w:rPr>
              <w:t>As above</w:t>
            </w:r>
          </w:p>
        </w:tc>
      </w:tr>
      <w:tr w:rsidR="6305B8F6" w:rsidTr="098D6404" w14:paraId="399E9B11" w14:textId="77777777">
        <w:trPr>
          <w:trHeight w:val="300"/>
        </w:trPr>
        <w:tc>
          <w:tcPr>
            <w:tcW w:w="3481" w:type="dxa"/>
          </w:tcPr>
          <w:p w:rsidR="2E2FF263" w:rsidP="6305B8F6" w:rsidRDefault="2E2FF263" w14:paraId="5B9A53DB" w14:textId="176B79ED">
            <w:pPr>
              <w:pStyle w:val="TableParagraph"/>
              <w:rPr>
                <w:sz w:val="24"/>
                <w:szCs w:val="24"/>
              </w:rPr>
            </w:pPr>
            <w:r w:rsidRPr="6305B8F6">
              <w:rPr>
                <w:sz w:val="24"/>
                <w:szCs w:val="24"/>
              </w:rPr>
              <w:t>Annual audited financial statements and report</w:t>
            </w:r>
          </w:p>
        </w:tc>
        <w:tc>
          <w:tcPr>
            <w:tcW w:w="3474" w:type="dxa"/>
          </w:tcPr>
          <w:p w:rsidR="2E2FF263" w:rsidP="6305B8F6" w:rsidRDefault="2E2FF263" w14:paraId="654ED4B3" w14:textId="6102ACDC">
            <w:pPr>
              <w:pStyle w:val="TableParagraph"/>
              <w:rPr>
                <w:sz w:val="24"/>
                <w:szCs w:val="24"/>
              </w:rPr>
            </w:pPr>
            <w:r w:rsidRPr="6305B8F6">
              <w:rPr>
                <w:sz w:val="24"/>
                <w:szCs w:val="24"/>
              </w:rPr>
              <w:t>Life of Group entity</w:t>
            </w:r>
          </w:p>
        </w:tc>
        <w:tc>
          <w:tcPr>
            <w:tcW w:w="3475" w:type="dxa"/>
          </w:tcPr>
          <w:p w:rsidR="783240C6" w:rsidP="6305B8F6" w:rsidRDefault="783240C6" w14:paraId="7F39DCBF" w14:textId="5BA3AC4B">
            <w:pPr>
              <w:pStyle w:val="TableParagraph"/>
              <w:rPr>
                <w:sz w:val="24"/>
                <w:szCs w:val="24"/>
              </w:rPr>
            </w:pPr>
            <w:r w:rsidRPr="6305B8F6">
              <w:rPr>
                <w:sz w:val="24"/>
                <w:szCs w:val="24"/>
              </w:rPr>
              <w:t>As above</w:t>
            </w:r>
          </w:p>
        </w:tc>
      </w:tr>
      <w:tr w:rsidR="6305B8F6" w:rsidTr="098D6404" w14:paraId="5A438A38" w14:textId="77777777">
        <w:trPr>
          <w:trHeight w:val="300"/>
        </w:trPr>
        <w:tc>
          <w:tcPr>
            <w:tcW w:w="3481" w:type="dxa"/>
          </w:tcPr>
          <w:p w:rsidR="783240C6" w:rsidP="6305B8F6" w:rsidRDefault="783240C6" w14:paraId="7BCECCCB" w14:textId="67A99C79">
            <w:pPr>
              <w:pStyle w:val="TableParagraph"/>
              <w:rPr>
                <w:sz w:val="24"/>
                <w:szCs w:val="24"/>
              </w:rPr>
            </w:pPr>
            <w:r w:rsidRPr="6305B8F6">
              <w:rPr>
                <w:sz w:val="24"/>
                <w:szCs w:val="24"/>
              </w:rPr>
              <w:t>Interim financial statements</w:t>
            </w:r>
          </w:p>
        </w:tc>
        <w:tc>
          <w:tcPr>
            <w:tcW w:w="3474" w:type="dxa"/>
          </w:tcPr>
          <w:p w:rsidR="783240C6" w:rsidP="6305B8F6" w:rsidRDefault="783240C6" w14:paraId="1F654EC2" w14:textId="6102ACDC">
            <w:pPr>
              <w:pStyle w:val="TableParagraph"/>
              <w:rPr>
                <w:sz w:val="24"/>
                <w:szCs w:val="24"/>
              </w:rPr>
            </w:pPr>
            <w:r w:rsidRPr="6305B8F6">
              <w:rPr>
                <w:sz w:val="24"/>
                <w:szCs w:val="24"/>
              </w:rPr>
              <w:t>Life of Group entity</w:t>
            </w:r>
          </w:p>
          <w:p w:rsidR="6305B8F6" w:rsidP="6305B8F6" w:rsidRDefault="6305B8F6" w14:paraId="5560998D" w14:textId="603A80E9">
            <w:pPr>
              <w:pStyle w:val="TableParagraph"/>
              <w:rPr>
                <w:sz w:val="24"/>
                <w:szCs w:val="24"/>
              </w:rPr>
            </w:pPr>
          </w:p>
        </w:tc>
        <w:tc>
          <w:tcPr>
            <w:tcW w:w="3475" w:type="dxa"/>
          </w:tcPr>
          <w:p w:rsidR="783240C6" w:rsidP="6305B8F6" w:rsidRDefault="783240C6" w14:paraId="55ACCF7D" w14:textId="36F1F53D">
            <w:pPr>
              <w:pStyle w:val="TableParagraph"/>
              <w:rPr>
                <w:sz w:val="24"/>
                <w:szCs w:val="24"/>
              </w:rPr>
            </w:pPr>
            <w:r w:rsidRPr="6305B8F6">
              <w:rPr>
                <w:sz w:val="24"/>
                <w:szCs w:val="24"/>
              </w:rPr>
              <w:t>As above</w:t>
            </w:r>
          </w:p>
        </w:tc>
      </w:tr>
      <w:tr w:rsidR="6305B8F6" w:rsidTr="098D6404" w14:paraId="61F837EF" w14:textId="77777777">
        <w:trPr>
          <w:trHeight w:val="300"/>
        </w:trPr>
        <w:tc>
          <w:tcPr>
            <w:tcW w:w="3481" w:type="dxa"/>
          </w:tcPr>
          <w:p w:rsidR="783240C6" w:rsidP="6305B8F6" w:rsidRDefault="783240C6" w14:paraId="7E2DC8C1" w14:textId="1E43C21C">
            <w:pPr>
              <w:pStyle w:val="TableParagraph"/>
              <w:rPr>
                <w:sz w:val="24"/>
                <w:szCs w:val="24"/>
              </w:rPr>
            </w:pPr>
            <w:r w:rsidRPr="6305B8F6">
              <w:rPr>
                <w:sz w:val="24"/>
                <w:szCs w:val="24"/>
              </w:rPr>
              <w:t>Internal financial statements</w:t>
            </w:r>
          </w:p>
        </w:tc>
        <w:tc>
          <w:tcPr>
            <w:tcW w:w="3474" w:type="dxa"/>
          </w:tcPr>
          <w:p w:rsidR="783240C6" w:rsidP="6305B8F6" w:rsidRDefault="783240C6" w14:paraId="120D2607" w14:textId="6BFBABC7">
            <w:pPr>
              <w:pStyle w:val="TableParagraph"/>
              <w:rPr>
                <w:sz w:val="24"/>
                <w:szCs w:val="24"/>
              </w:rPr>
            </w:pPr>
            <w:r w:rsidRPr="6305B8F6">
              <w:rPr>
                <w:sz w:val="24"/>
                <w:szCs w:val="24"/>
              </w:rPr>
              <w:t>7 years from financial year end</w:t>
            </w:r>
          </w:p>
        </w:tc>
        <w:tc>
          <w:tcPr>
            <w:tcW w:w="3475" w:type="dxa"/>
          </w:tcPr>
          <w:p w:rsidR="783240C6" w:rsidP="6305B8F6" w:rsidRDefault="783240C6" w14:paraId="3C5B2DF7" w14:textId="08D5EC67">
            <w:pPr>
              <w:pStyle w:val="TableParagraph"/>
              <w:rPr>
                <w:sz w:val="24"/>
                <w:szCs w:val="24"/>
              </w:rPr>
            </w:pPr>
            <w:r w:rsidRPr="6305B8F6">
              <w:rPr>
                <w:sz w:val="24"/>
                <w:szCs w:val="24"/>
              </w:rPr>
              <w:t>As above</w:t>
            </w:r>
          </w:p>
        </w:tc>
      </w:tr>
      <w:tr w:rsidR="6305B8F6" w:rsidTr="098D6404" w14:paraId="38DFE612" w14:textId="77777777">
        <w:trPr>
          <w:trHeight w:val="300"/>
        </w:trPr>
        <w:tc>
          <w:tcPr>
            <w:tcW w:w="3481" w:type="dxa"/>
          </w:tcPr>
          <w:p w:rsidR="783240C6" w:rsidP="6305B8F6" w:rsidRDefault="783240C6" w14:paraId="71CF97D9" w14:textId="6E74D4E4">
            <w:pPr>
              <w:pStyle w:val="TableParagraph"/>
              <w:rPr>
                <w:sz w:val="24"/>
                <w:szCs w:val="24"/>
              </w:rPr>
            </w:pPr>
            <w:r w:rsidRPr="6305B8F6">
              <w:rPr>
                <w:sz w:val="24"/>
                <w:szCs w:val="24"/>
              </w:rPr>
              <w:t>Annual plans and budgets</w:t>
            </w:r>
          </w:p>
        </w:tc>
        <w:tc>
          <w:tcPr>
            <w:tcW w:w="3474" w:type="dxa"/>
          </w:tcPr>
          <w:p w:rsidR="783240C6" w:rsidP="6305B8F6" w:rsidRDefault="783240C6" w14:paraId="62D283E6" w14:textId="6BFBABC7">
            <w:pPr>
              <w:pStyle w:val="TableParagraph"/>
              <w:rPr>
                <w:sz w:val="24"/>
                <w:szCs w:val="24"/>
              </w:rPr>
            </w:pPr>
            <w:r w:rsidRPr="6305B8F6">
              <w:rPr>
                <w:sz w:val="24"/>
                <w:szCs w:val="24"/>
              </w:rPr>
              <w:t>7 years from financial year end</w:t>
            </w:r>
          </w:p>
          <w:p w:rsidR="6305B8F6" w:rsidP="6305B8F6" w:rsidRDefault="6305B8F6" w14:paraId="6465B828" w14:textId="17DEB91E">
            <w:pPr>
              <w:pStyle w:val="TableParagraph"/>
              <w:rPr>
                <w:sz w:val="24"/>
                <w:szCs w:val="24"/>
              </w:rPr>
            </w:pPr>
          </w:p>
        </w:tc>
        <w:tc>
          <w:tcPr>
            <w:tcW w:w="3475" w:type="dxa"/>
          </w:tcPr>
          <w:p w:rsidR="783240C6" w:rsidP="6305B8F6" w:rsidRDefault="783240C6" w14:paraId="2C949CD9" w14:textId="1E28ED98">
            <w:pPr>
              <w:pStyle w:val="TableParagraph"/>
              <w:rPr>
                <w:sz w:val="24"/>
                <w:szCs w:val="24"/>
              </w:rPr>
            </w:pPr>
            <w:r w:rsidRPr="6305B8F6">
              <w:rPr>
                <w:sz w:val="24"/>
                <w:szCs w:val="24"/>
              </w:rPr>
              <w:t>As above</w:t>
            </w:r>
          </w:p>
        </w:tc>
      </w:tr>
      <w:tr w:rsidR="6305B8F6" w:rsidTr="098D6404" w14:paraId="1607CB40" w14:textId="77777777">
        <w:trPr>
          <w:trHeight w:val="300"/>
        </w:trPr>
        <w:tc>
          <w:tcPr>
            <w:tcW w:w="3481" w:type="dxa"/>
          </w:tcPr>
          <w:p w:rsidR="0B493C55" w:rsidP="6305B8F6" w:rsidRDefault="0B493C55" w14:paraId="34309EE9" w14:textId="791C3D2F">
            <w:pPr>
              <w:pStyle w:val="TableParagraph"/>
              <w:rPr>
                <w:sz w:val="24"/>
                <w:szCs w:val="24"/>
              </w:rPr>
            </w:pPr>
            <w:r w:rsidRPr="6305B8F6">
              <w:rPr>
                <w:sz w:val="24"/>
                <w:szCs w:val="24"/>
              </w:rPr>
              <w:t>VAT records</w:t>
            </w:r>
          </w:p>
        </w:tc>
        <w:tc>
          <w:tcPr>
            <w:tcW w:w="3474" w:type="dxa"/>
          </w:tcPr>
          <w:p w:rsidR="0B493C55" w:rsidP="6305B8F6" w:rsidRDefault="0B493C55" w14:paraId="399E1175" w14:textId="46E47047">
            <w:pPr>
              <w:pStyle w:val="TableParagraph"/>
              <w:rPr>
                <w:sz w:val="24"/>
                <w:szCs w:val="24"/>
              </w:rPr>
            </w:pPr>
            <w:r w:rsidRPr="6305B8F6">
              <w:rPr>
                <w:sz w:val="24"/>
                <w:szCs w:val="24"/>
              </w:rPr>
              <w:t>7 years from tax year end</w:t>
            </w:r>
          </w:p>
        </w:tc>
        <w:tc>
          <w:tcPr>
            <w:tcW w:w="3475" w:type="dxa"/>
          </w:tcPr>
          <w:p w:rsidR="0B493C55" w:rsidP="6305B8F6" w:rsidRDefault="0B493C55" w14:paraId="1E80D130" w14:textId="35E0E538">
            <w:pPr>
              <w:pStyle w:val="TableParagraph"/>
              <w:rPr>
                <w:sz w:val="24"/>
                <w:szCs w:val="24"/>
              </w:rPr>
            </w:pPr>
            <w:r w:rsidRPr="6305B8F6">
              <w:rPr>
                <w:sz w:val="24"/>
                <w:szCs w:val="24"/>
              </w:rPr>
              <w:t>Value Added Tax Act 1994 (as amended).</w:t>
            </w:r>
          </w:p>
        </w:tc>
      </w:tr>
      <w:tr w:rsidR="6305B8F6" w:rsidTr="098D6404" w14:paraId="5BA8D97C" w14:textId="77777777">
        <w:trPr>
          <w:trHeight w:val="300"/>
        </w:trPr>
        <w:tc>
          <w:tcPr>
            <w:tcW w:w="3481" w:type="dxa"/>
          </w:tcPr>
          <w:p w:rsidR="0B493C55" w:rsidP="6305B8F6" w:rsidRDefault="0B493C55" w14:paraId="6DABB51D" w14:textId="19204E9B">
            <w:pPr>
              <w:pStyle w:val="TableParagraph"/>
              <w:rPr>
                <w:sz w:val="24"/>
                <w:szCs w:val="24"/>
              </w:rPr>
            </w:pPr>
            <w:r w:rsidRPr="6305B8F6">
              <w:rPr>
                <w:sz w:val="24"/>
                <w:szCs w:val="24"/>
              </w:rPr>
              <w:t>Dividend withholding tax</w:t>
            </w:r>
          </w:p>
        </w:tc>
        <w:tc>
          <w:tcPr>
            <w:tcW w:w="3474" w:type="dxa"/>
          </w:tcPr>
          <w:p w:rsidR="0B493C55" w:rsidP="6305B8F6" w:rsidRDefault="0B493C55" w14:paraId="5E5CD96C" w14:textId="46E47047">
            <w:pPr>
              <w:pStyle w:val="TableParagraph"/>
              <w:rPr>
                <w:sz w:val="24"/>
                <w:szCs w:val="24"/>
              </w:rPr>
            </w:pPr>
            <w:r w:rsidRPr="6305B8F6">
              <w:rPr>
                <w:sz w:val="24"/>
                <w:szCs w:val="24"/>
              </w:rPr>
              <w:t>7 years from tax year end</w:t>
            </w:r>
          </w:p>
          <w:p w:rsidR="6305B8F6" w:rsidP="6305B8F6" w:rsidRDefault="6305B8F6" w14:paraId="4AA87673" w14:textId="19339C4A">
            <w:pPr>
              <w:pStyle w:val="TableParagraph"/>
              <w:rPr>
                <w:sz w:val="24"/>
                <w:szCs w:val="24"/>
              </w:rPr>
            </w:pPr>
          </w:p>
        </w:tc>
        <w:tc>
          <w:tcPr>
            <w:tcW w:w="3475" w:type="dxa"/>
          </w:tcPr>
          <w:p w:rsidR="0B493C55" w:rsidP="6305B8F6" w:rsidRDefault="0B493C55" w14:paraId="23A21340" w14:textId="4CDBA76F">
            <w:pPr>
              <w:pStyle w:val="TableParagraph"/>
              <w:rPr>
                <w:sz w:val="24"/>
                <w:szCs w:val="24"/>
              </w:rPr>
            </w:pPr>
            <w:r w:rsidRPr="6305B8F6">
              <w:rPr>
                <w:sz w:val="24"/>
                <w:szCs w:val="24"/>
              </w:rPr>
              <w:t>Section 1104 of Corporation Tax Act 2010.</w:t>
            </w:r>
          </w:p>
        </w:tc>
      </w:tr>
      <w:tr w:rsidR="6305B8F6" w:rsidTr="098D6404" w14:paraId="79F18BB8" w14:textId="77777777">
        <w:trPr>
          <w:trHeight w:val="300"/>
        </w:trPr>
        <w:tc>
          <w:tcPr>
            <w:tcW w:w="3481" w:type="dxa"/>
          </w:tcPr>
          <w:p w:rsidR="0B493C55" w:rsidP="6305B8F6" w:rsidRDefault="0B493C55" w14:paraId="36BA3648" w14:textId="5926BFD9">
            <w:pPr>
              <w:pStyle w:val="TableParagraph"/>
              <w:rPr>
                <w:sz w:val="24"/>
                <w:szCs w:val="24"/>
              </w:rPr>
            </w:pPr>
            <w:r w:rsidRPr="6305B8F6">
              <w:rPr>
                <w:sz w:val="24"/>
                <w:szCs w:val="24"/>
              </w:rPr>
              <w:t xml:space="preserve">Corporation tax </w:t>
            </w:r>
            <w:r w:rsidR="00934B72">
              <w:rPr>
                <w:sz w:val="24"/>
                <w:szCs w:val="24"/>
              </w:rPr>
              <w:t>self-assessment</w:t>
            </w:r>
            <w:r w:rsidRPr="6305B8F6">
              <w:rPr>
                <w:sz w:val="24"/>
                <w:szCs w:val="24"/>
              </w:rPr>
              <w:t xml:space="preserve"> records</w:t>
            </w:r>
          </w:p>
        </w:tc>
        <w:tc>
          <w:tcPr>
            <w:tcW w:w="3474" w:type="dxa"/>
          </w:tcPr>
          <w:p w:rsidR="0B493C55" w:rsidP="6305B8F6" w:rsidRDefault="0B493C55" w14:paraId="3487DFED" w14:textId="46E47047">
            <w:pPr>
              <w:pStyle w:val="TableParagraph"/>
              <w:rPr>
                <w:sz w:val="24"/>
                <w:szCs w:val="24"/>
              </w:rPr>
            </w:pPr>
            <w:r w:rsidRPr="6305B8F6">
              <w:rPr>
                <w:sz w:val="24"/>
                <w:szCs w:val="24"/>
              </w:rPr>
              <w:t>7 years from tax year end</w:t>
            </w:r>
          </w:p>
          <w:p w:rsidR="6305B8F6" w:rsidP="6305B8F6" w:rsidRDefault="6305B8F6" w14:paraId="237F6CED" w14:textId="29073827">
            <w:pPr>
              <w:pStyle w:val="TableParagraph"/>
              <w:rPr>
                <w:sz w:val="24"/>
                <w:szCs w:val="24"/>
              </w:rPr>
            </w:pPr>
          </w:p>
        </w:tc>
        <w:tc>
          <w:tcPr>
            <w:tcW w:w="3475" w:type="dxa"/>
          </w:tcPr>
          <w:p w:rsidR="0B493C55" w:rsidP="6305B8F6" w:rsidRDefault="0B493C55" w14:paraId="106F5E95" w14:textId="208EA586">
            <w:pPr>
              <w:pStyle w:val="TableParagraph"/>
              <w:rPr>
                <w:sz w:val="24"/>
                <w:szCs w:val="24"/>
              </w:rPr>
            </w:pPr>
            <w:r w:rsidRPr="6305B8F6">
              <w:rPr>
                <w:sz w:val="24"/>
                <w:szCs w:val="24"/>
              </w:rPr>
              <w:t>Taxes Management Act 1970.</w:t>
            </w:r>
          </w:p>
        </w:tc>
      </w:tr>
      <w:tr w:rsidR="6305B8F6" w:rsidTr="098D6404" w14:paraId="39054A36" w14:textId="77777777">
        <w:trPr>
          <w:trHeight w:val="300"/>
        </w:trPr>
        <w:tc>
          <w:tcPr>
            <w:tcW w:w="3481" w:type="dxa"/>
          </w:tcPr>
          <w:p w:rsidR="0B493C55" w:rsidP="6305B8F6" w:rsidRDefault="0B493C55" w14:paraId="723D8016" w14:textId="3F380091">
            <w:pPr>
              <w:pStyle w:val="TableParagraph"/>
              <w:rPr>
                <w:sz w:val="24"/>
                <w:szCs w:val="24"/>
              </w:rPr>
            </w:pPr>
            <w:r w:rsidRPr="6305B8F6">
              <w:rPr>
                <w:sz w:val="24"/>
                <w:szCs w:val="24"/>
              </w:rPr>
              <w:t>Stamp duty land tax records</w:t>
            </w:r>
          </w:p>
        </w:tc>
        <w:tc>
          <w:tcPr>
            <w:tcW w:w="3474" w:type="dxa"/>
          </w:tcPr>
          <w:p w:rsidR="0B493C55" w:rsidP="6305B8F6" w:rsidRDefault="0B493C55" w14:paraId="1726D233" w14:textId="46E47047">
            <w:pPr>
              <w:pStyle w:val="TableParagraph"/>
              <w:rPr>
                <w:sz w:val="24"/>
                <w:szCs w:val="24"/>
              </w:rPr>
            </w:pPr>
            <w:r w:rsidRPr="6305B8F6">
              <w:rPr>
                <w:sz w:val="24"/>
                <w:szCs w:val="24"/>
              </w:rPr>
              <w:t>7 years from tax year end</w:t>
            </w:r>
          </w:p>
          <w:p w:rsidR="6305B8F6" w:rsidP="6305B8F6" w:rsidRDefault="6305B8F6" w14:paraId="2B182012" w14:textId="16E91F34">
            <w:pPr>
              <w:pStyle w:val="TableParagraph"/>
              <w:rPr>
                <w:sz w:val="24"/>
                <w:szCs w:val="24"/>
              </w:rPr>
            </w:pPr>
          </w:p>
        </w:tc>
        <w:tc>
          <w:tcPr>
            <w:tcW w:w="3475" w:type="dxa"/>
          </w:tcPr>
          <w:p w:rsidR="0B493C55" w:rsidP="6305B8F6" w:rsidRDefault="0B493C55" w14:paraId="074DD8C7" w14:textId="35C10828">
            <w:pPr>
              <w:pStyle w:val="TableParagraph"/>
              <w:rPr>
                <w:sz w:val="24"/>
                <w:szCs w:val="24"/>
              </w:rPr>
            </w:pPr>
            <w:r w:rsidRPr="6305B8F6">
              <w:rPr>
                <w:sz w:val="24"/>
                <w:szCs w:val="24"/>
              </w:rPr>
              <w:lastRenderedPageBreak/>
              <w:t xml:space="preserve">Paragraph 9, Schedule 10, </w:t>
            </w:r>
            <w:r w:rsidRPr="6305B8F6">
              <w:rPr>
                <w:sz w:val="24"/>
                <w:szCs w:val="24"/>
              </w:rPr>
              <w:lastRenderedPageBreak/>
              <w:t>Finance Act 2003 (as amended).</w:t>
            </w:r>
          </w:p>
        </w:tc>
      </w:tr>
      <w:tr w:rsidR="6305B8F6" w:rsidTr="098D6404" w14:paraId="65004674" w14:textId="77777777">
        <w:trPr>
          <w:trHeight w:val="300"/>
        </w:trPr>
        <w:tc>
          <w:tcPr>
            <w:tcW w:w="3481" w:type="dxa"/>
          </w:tcPr>
          <w:p w:rsidR="0B493C55" w:rsidP="6305B8F6" w:rsidRDefault="0B493C55" w14:paraId="4A865077" w14:textId="6530C98B">
            <w:pPr>
              <w:pStyle w:val="TableParagraph"/>
              <w:rPr>
                <w:sz w:val="24"/>
                <w:szCs w:val="24"/>
              </w:rPr>
            </w:pPr>
            <w:r w:rsidRPr="6305B8F6">
              <w:rPr>
                <w:sz w:val="24"/>
                <w:szCs w:val="24"/>
              </w:rPr>
              <w:lastRenderedPageBreak/>
              <w:t>Landfill tax records</w:t>
            </w:r>
          </w:p>
        </w:tc>
        <w:tc>
          <w:tcPr>
            <w:tcW w:w="3474" w:type="dxa"/>
          </w:tcPr>
          <w:p w:rsidR="0B493C55" w:rsidP="6305B8F6" w:rsidRDefault="0B493C55" w14:paraId="30C7D3DA" w14:textId="46E47047">
            <w:pPr>
              <w:pStyle w:val="TableParagraph"/>
              <w:rPr>
                <w:sz w:val="24"/>
                <w:szCs w:val="24"/>
              </w:rPr>
            </w:pPr>
            <w:r w:rsidRPr="6305B8F6">
              <w:rPr>
                <w:sz w:val="24"/>
                <w:szCs w:val="24"/>
              </w:rPr>
              <w:t>7 years from tax year end</w:t>
            </w:r>
          </w:p>
          <w:p w:rsidR="6305B8F6" w:rsidP="6305B8F6" w:rsidRDefault="6305B8F6" w14:paraId="1EAD91F4" w14:textId="44DC4D4F">
            <w:pPr>
              <w:pStyle w:val="TableParagraph"/>
              <w:rPr>
                <w:sz w:val="24"/>
                <w:szCs w:val="24"/>
              </w:rPr>
            </w:pPr>
          </w:p>
        </w:tc>
        <w:tc>
          <w:tcPr>
            <w:tcW w:w="3475" w:type="dxa"/>
          </w:tcPr>
          <w:p w:rsidR="0B493C55" w:rsidP="6305B8F6" w:rsidRDefault="0B493C55" w14:paraId="5F9EAD76" w14:textId="2B37FDAD">
            <w:pPr>
              <w:pStyle w:val="TableParagraph"/>
              <w:rPr>
                <w:sz w:val="24"/>
                <w:szCs w:val="24"/>
              </w:rPr>
            </w:pPr>
            <w:r w:rsidRPr="6305B8F6">
              <w:rPr>
                <w:sz w:val="24"/>
                <w:szCs w:val="24"/>
              </w:rPr>
              <w:t>The Landfill Tax Regulations 1996 (as amended).</w:t>
            </w:r>
          </w:p>
        </w:tc>
      </w:tr>
      <w:tr w:rsidR="6305B8F6" w:rsidTr="098D6404" w14:paraId="34047E6D" w14:textId="77777777">
        <w:trPr>
          <w:trHeight w:val="300"/>
        </w:trPr>
        <w:tc>
          <w:tcPr>
            <w:tcW w:w="3481" w:type="dxa"/>
          </w:tcPr>
          <w:p w:rsidR="0B493C55" w:rsidP="6305B8F6" w:rsidRDefault="0B493C55" w14:paraId="250A53E7" w14:textId="79F9BA41">
            <w:pPr>
              <w:pStyle w:val="TableParagraph"/>
              <w:rPr>
                <w:sz w:val="24"/>
                <w:szCs w:val="24"/>
              </w:rPr>
            </w:pPr>
            <w:r w:rsidRPr="6305B8F6">
              <w:rPr>
                <w:sz w:val="24"/>
                <w:szCs w:val="24"/>
              </w:rPr>
              <w:t>Insurance premium tax records</w:t>
            </w:r>
          </w:p>
        </w:tc>
        <w:tc>
          <w:tcPr>
            <w:tcW w:w="3474" w:type="dxa"/>
          </w:tcPr>
          <w:p w:rsidR="0B493C55" w:rsidP="6305B8F6" w:rsidRDefault="0B493C55" w14:paraId="0574B36C" w14:textId="46E47047">
            <w:pPr>
              <w:pStyle w:val="TableParagraph"/>
              <w:rPr>
                <w:sz w:val="24"/>
                <w:szCs w:val="24"/>
              </w:rPr>
            </w:pPr>
            <w:r w:rsidRPr="6305B8F6">
              <w:rPr>
                <w:sz w:val="24"/>
                <w:szCs w:val="24"/>
              </w:rPr>
              <w:t>7 years from tax year end</w:t>
            </w:r>
          </w:p>
          <w:p w:rsidR="6305B8F6" w:rsidP="6305B8F6" w:rsidRDefault="6305B8F6" w14:paraId="18784833" w14:textId="139819C9">
            <w:pPr>
              <w:pStyle w:val="TableParagraph"/>
              <w:rPr>
                <w:sz w:val="24"/>
                <w:szCs w:val="24"/>
              </w:rPr>
            </w:pPr>
          </w:p>
        </w:tc>
        <w:tc>
          <w:tcPr>
            <w:tcW w:w="3475" w:type="dxa"/>
          </w:tcPr>
          <w:p w:rsidR="0B493C55" w:rsidP="6305B8F6" w:rsidRDefault="0B493C55" w14:paraId="2DD60832" w14:textId="7D24770A">
            <w:pPr>
              <w:pStyle w:val="TableParagraph"/>
              <w:rPr>
                <w:sz w:val="24"/>
                <w:szCs w:val="24"/>
              </w:rPr>
            </w:pPr>
            <w:r w:rsidRPr="6305B8F6">
              <w:rPr>
                <w:sz w:val="24"/>
                <w:szCs w:val="24"/>
              </w:rPr>
              <w:t>The Insurance Premium Tax Regulations 1994.</w:t>
            </w:r>
          </w:p>
        </w:tc>
      </w:tr>
      <w:tr w:rsidR="6305B8F6" w:rsidTr="098D6404" w14:paraId="686E60F4" w14:textId="77777777">
        <w:trPr>
          <w:trHeight w:val="300"/>
        </w:trPr>
        <w:tc>
          <w:tcPr>
            <w:tcW w:w="3481" w:type="dxa"/>
          </w:tcPr>
          <w:p w:rsidR="0B493C55" w:rsidP="6305B8F6" w:rsidRDefault="0B493C55" w14:paraId="2C120145" w14:textId="35FAC1A9">
            <w:pPr>
              <w:pStyle w:val="TableParagraph"/>
              <w:rPr>
                <w:sz w:val="24"/>
                <w:szCs w:val="24"/>
              </w:rPr>
            </w:pPr>
            <w:r w:rsidRPr="6305B8F6">
              <w:rPr>
                <w:sz w:val="24"/>
                <w:szCs w:val="24"/>
              </w:rPr>
              <w:t>Charitable donation records</w:t>
            </w:r>
          </w:p>
        </w:tc>
        <w:tc>
          <w:tcPr>
            <w:tcW w:w="3474" w:type="dxa"/>
          </w:tcPr>
          <w:p w:rsidR="0B493C55" w:rsidP="6305B8F6" w:rsidRDefault="0B493C55" w14:paraId="2A9EB981" w14:textId="6323B469">
            <w:pPr>
              <w:pStyle w:val="TableParagraph"/>
              <w:rPr>
                <w:sz w:val="24"/>
                <w:szCs w:val="24"/>
              </w:rPr>
            </w:pPr>
            <w:r w:rsidRPr="6305B8F6">
              <w:rPr>
                <w:sz w:val="24"/>
                <w:szCs w:val="24"/>
              </w:rPr>
              <w:t xml:space="preserve">Records re sponsorship arrangements or partnerships with third party charities: </w:t>
            </w:r>
          </w:p>
          <w:p w:rsidR="0B493C55" w:rsidP="6305B8F6" w:rsidRDefault="0B493C55" w14:paraId="0F055FC8" w14:textId="03D91137">
            <w:pPr>
              <w:pStyle w:val="TableParagraph"/>
              <w:rPr>
                <w:sz w:val="24"/>
                <w:szCs w:val="24"/>
              </w:rPr>
            </w:pPr>
            <w:r w:rsidRPr="098D6404">
              <w:rPr>
                <w:sz w:val="24"/>
                <w:szCs w:val="24"/>
              </w:rPr>
              <w:t xml:space="preserve">6 years after </w:t>
            </w:r>
            <w:r w:rsidRPr="098D6404" w:rsidR="0726C71F">
              <w:rPr>
                <w:sz w:val="24"/>
                <w:szCs w:val="24"/>
              </w:rPr>
              <w:t>the date</w:t>
            </w:r>
            <w:r w:rsidRPr="098D6404">
              <w:rPr>
                <w:sz w:val="24"/>
                <w:szCs w:val="24"/>
              </w:rPr>
              <w:t xml:space="preserve"> of last payment but up to 12 years if any payments are still outstanding or there </w:t>
            </w:r>
            <w:proofErr w:type="gramStart"/>
            <w:r w:rsidRPr="098D6404">
              <w:rPr>
                <w:sz w:val="24"/>
                <w:szCs w:val="24"/>
              </w:rPr>
              <w:t>is</w:t>
            </w:r>
            <w:proofErr w:type="gramEnd"/>
            <w:r w:rsidRPr="098D6404">
              <w:rPr>
                <w:sz w:val="24"/>
                <w:szCs w:val="24"/>
              </w:rPr>
              <w:t xml:space="preserve"> disputes regarding a document executed as a deed. </w:t>
            </w:r>
          </w:p>
          <w:p w:rsidR="0B493C55" w:rsidP="6305B8F6" w:rsidRDefault="0B493C55" w14:paraId="4A1F8CCC" w14:textId="69E1537C">
            <w:pPr>
              <w:pStyle w:val="TableParagraph"/>
              <w:rPr>
                <w:sz w:val="24"/>
                <w:szCs w:val="24"/>
              </w:rPr>
            </w:pPr>
            <w:r w:rsidRPr="6305B8F6">
              <w:rPr>
                <w:sz w:val="24"/>
                <w:szCs w:val="24"/>
              </w:rPr>
              <w:t xml:space="preserve">Documents evidencing donations made to charitable </w:t>
            </w:r>
            <w:proofErr w:type="spellStart"/>
            <w:r w:rsidRPr="6305B8F6">
              <w:rPr>
                <w:sz w:val="24"/>
                <w:szCs w:val="24"/>
              </w:rPr>
              <w:t>organisations</w:t>
            </w:r>
            <w:proofErr w:type="spellEnd"/>
            <w:r w:rsidRPr="6305B8F6">
              <w:rPr>
                <w:sz w:val="24"/>
                <w:szCs w:val="24"/>
              </w:rPr>
              <w:t xml:space="preserve">: public companies: 6 </w:t>
            </w:r>
            <w:proofErr w:type="gramStart"/>
            <w:r w:rsidRPr="6305B8F6">
              <w:rPr>
                <w:sz w:val="24"/>
                <w:szCs w:val="24"/>
              </w:rPr>
              <w:t>years</w:t>
            </w:r>
            <w:proofErr w:type="gramEnd"/>
            <w:r w:rsidRPr="6305B8F6">
              <w:rPr>
                <w:sz w:val="24"/>
                <w:szCs w:val="24"/>
              </w:rPr>
              <w:t xml:space="preserve"> </w:t>
            </w:r>
          </w:p>
          <w:p w:rsidR="0B493C55" w:rsidP="6305B8F6" w:rsidRDefault="0B493C55" w14:paraId="4ED5C9B6" w14:textId="1DC59F2D">
            <w:pPr>
              <w:pStyle w:val="TableParagraph"/>
              <w:rPr>
                <w:sz w:val="24"/>
                <w:szCs w:val="24"/>
              </w:rPr>
            </w:pPr>
            <w:r w:rsidRPr="6305B8F6">
              <w:rPr>
                <w:sz w:val="24"/>
                <w:szCs w:val="24"/>
              </w:rPr>
              <w:t>private companies: 3 years</w:t>
            </w:r>
          </w:p>
        </w:tc>
        <w:tc>
          <w:tcPr>
            <w:tcW w:w="3475" w:type="dxa"/>
          </w:tcPr>
          <w:p w:rsidR="692F8930" w:rsidP="6305B8F6" w:rsidRDefault="692F8930" w14:paraId="43976DE0" w14:textId="7AC1B747">
            <w:pPr>
              <w:pStyle w:val="TableParagraph"/>
              <w:rPr>
                <w:sz w:val="24"/>
                <w:szCs w:val="24"/>
              </w:rPr>
            </w:pPr>
            <w:r w:rsidRPr="6305B8F6">
              <w:rPr>
                <w:sz w:val="24"/>
                <w:szCs w:val="24"/>
              </w:rPr>
              <w:t>Section 388(4) Companies Act 2006.</w:t>
            </w:r>
          </w:p>
        </w:tc>
      </w:tr>
      <w:tr w:rsidR="6305B8F6" w:rsidTr="098D6404" w14:paraId="040DC8F9" w14:textId="77777777">
        <w:trPr>
          <w:trHeight w:val="300"/>
        </w:trPr>
        <w:tc>
          <w:tcPr>
            <w:tcW w:w="3481" w:type="dxa"/>
          </w:tcPr>
          <w:p w:rsidR="4BA1E4E9" w:rsidP="6305B8F6" w:rsidRDefault="4BA1E4E9" w14:paraId="5F4DFE5E" w14:textId="31DC22CC">
            <w:pPr>
              <w:pStyle w:val="TableParagraph"/>
              <w:rPr>
                <w:sz w:val="24"/>
                <w:szCs w:val="24"/>
              </w:rPr>
            </w:pPr>
            <w:r w:rsidRPr="6305B8F6">
              <w:rPr>
                <w:sz w:val="24"/>
                <w:szCs w:val="24"/>
              </w:rPr>
              <w:t>Banking records:</w:t>
            </w:r>
          </w:p>
          <w:p w:rsidR="4BA1E4E9" w:rsidP="6305B8F6" w:rsidRDefault="4BA1E4E9" w14:paraId="5FE2D50E" w14:textId="37945867">
            <w:pPr>
              <w:pStyle w:val="TableParagraph"/>
              <w:rPr>
                <w:sz w:val="24"/>
                <w:szCs w:val="24"/>
              </w:rPr>
            </w:pPr>
            <w:r w:rsidRPr="6305B8F6">
              <w:rPr>
                <w:sz w:val="24"/>
                <w:szCs w:val="24"/>
              </w:rPr>
              <w:t>Cheques and other negotiable instruments</w:t>
            </w:r>
          </w:p>
          <w:p w:rsidR="4BA1E4E9" w:rsidP="6305B8F6" w:rsidRDefault="4BA1E4E9" w14:paraId="58245C4E" w14:textId="15723DA7">
            <w:pPr>
              <w:pStyle w:val="TableParagraph"/>
              <w:rPr>
                <w:sz w:val="24"/>
                <w:szCs w:val="24"/>
              </w:rPr>
            </w:pPr>
            <w:r w:rsidRPr="6305B8F6">
              <w:rPr>
                <w:sz w:val="24"/>
                <w:szCs w:val="24"/>
              </w:rPr>
              <w:t>Paying-in counterfoil</w:t>
            </w:r>
          </w:p>
          <w:p w:rsidR="6305B8F6" w:rsidP="6305B8F6" w:rsidRDefault="6305B8F6" w14:paraId="1C6A9D16" w14:textId="5E55A653">
            <w:pPr>
              <w:pStyle w:val="TableParagraph"/>
              <w:rPr>
                <w:sz w:val="24"/>
                <w:szCs w:val="24"/>
              </w:rPr>
            </w:pPr>
          </w:p>
          <w:p w:rsidR="4BA1E4E9" w:rsidP="6305B8F6" w:rsidRDefault="4BA1E4E9" w14:paraId="7E4E6941" w14:textId="62866723">
            <w:pPr>
              <w:pStyle w:val="TableParagraph"/>
              <w:rPr>
                <w:sz w:val="24"/>
                <w:szCs w:val="24"/>
              </w:rPr>
            </w:pPr>
            <w:r w:rsidRPr="6305B8F6">
              <w:rPr>
                <w:sz w:val="24"/>
                <w:szCs w:val="24"/>
              </w:rPr>
              <w:t xml:space="preserve">Bank statements and </w:t>
            </w:r>
            <w:proofErr w:type="gramStart"/>
            <w:r w:rsidRPr="6305B8F6">
              <w:rPr>
                <w:sz w:val="24"/>
                <w:szCs w:val="24"/>
              </w:rPr>
              <w:t>reconciliations</w:t>
            </w:r>
            <w:proofErr w:type="gramEnd"/>
          </w:p>
          <w:p w:rsidR="6305B8F6" w:rsidP="6305B8F6" w:rsidRDefault="6305B8F6" w14:paraId="4771D680" w14:textId="0D64E64F">
            <w:pPr>
              <w:pStyle w:val="TableParagraph"/>
              <w:rPr>
                <w:sz w:val="24"/>
                <w:szCs w:val="24"/>
              </w:rPr>
            </w:pPr>
          </w:p>
          <w:p w:rsidR="6305B8F6" w:rsidP="6305B8F6" w:rsidRDefault="6305B8F6" w14:paraId="66C3677B" w14:textId="3C245D35">
            <w:pPr>
              <w:pStyle w:val="TableParagraph"/>
              <w:rPr>
                <w:sz w:val="24"/>
                <w:szCs w:val="24"/>
              </w:rPr>
            </w:pPr>
          </w:p>
          <w:p w:rsidR="6305B8F6" w:rsidP="6305B8F6" w:rsidRDefault="6305B8F6" w14:paraId="1971513B" w14:textId="18F390E7">
            <w:pPr>
              <w:pStyle w:val="TableParagraph"/>
              <w:rPr>
                <w:sz w:val="24"/>
                <w:szCs w:val="24"/>
              </w:rPr>
            </w:pPr>
          </w:p>
          <w:p w:rsidR="4BA1E4E9" w:rsidP="6305B8F6" w:rsidRDefault="4BA1E4E9" w14:paraId="4C8A305B" w14:textId="1F7D58F8">
            <w:pPr>
              <w:pStyle w:val="TableParagraph"/>
              <w:rPr>
                <w:sz w:val="24"/>
                <w:szCs w:val="24"/>
              </w:rPr>
            </w:pPr>
            <w:r w:rsidRPr="6305B8F6">
              <w:rPr>
                <w:sz w:val="24"/>
                <w:szCs w:val="24"/>
              </w:rPr>
              <w:t>Instructions to bank</w:t>
            </w:r>
          </w:p>
        </w:tc>
        <w:tc>
          <w:tcPr>
            <w:tcW w:w="3474" w:type="dxa"/>
          </w:tcPr>
          <w:p w:rsidR="6305B8F6" w:rsidP="6305B8F6" w:rsidRDefault="6305B8F6" w14:paraId="12C5D36B" w14:textId="5FD593B9">
            <w:pPr>
              <w:pStyle w:val="TableParagraph"/>
              <w:rPr>
                <w:sz w:val="24"/>
                <w:szCs w:val="24"/>
              </w:rPr>
            </w:pPr>
          </w:p>
          <w:p w:rsidR="0E50403A" w:rsidP="6305B8F6" w:rsidRDefault="0E50403A" w14:paraId="046679E6" w14:textId="63BB60C3">
            <w:pPr>
              <w:pStyle w:val="TableParagraph"/>
              <w:rPr>
                <w:sz w:val="24"/>
                <w:szCs w:val="24"/>
              </w:rPr>
            </w:pPr>
            <w:r w:rsidRPr="6305B8F6">
              <w:rPr>
                <w:sz w:val="24"/>
                <w:szCs w:val="24"/>
              </w:rPr>
              <w:t>Originals</w:t>
            </w:r>
          </w:p>
          <w:p w:rsidR="6305B8F6" w:rsidP="6305B8F6" w:rsidRDefault="6305B8F6" w14:paraId="64818105" w14:textId="6C4FEDE9">
            <w:pPr>
              <w:pStyle w:val="TableParagraph"/>
              <w:rPr>
                <w:sz w:val="24"/>
                <w:szCs w:val="24"/>
              </w:rPr>
            </w:pPr>
          </w:p>
          <w:p w:rsidR="0E50403A" w:rsidP="6305B8F6" w:rsidRDefault="0E50403A" w14:paraId="4FAD5FE0" w14:textId="03BC4218">
            <w:pPr>
              <w:pStyle w:val="TableParagraph"/>
              <w:ind w:left="0"/>
              <w:rPr>
                <w:sz w:val="24"/>
                <w:szCs w:val="24"/>
              </w:rPr>
            </w:pPr>
            <w:r w:rsidRPr="6305B8F6">
              <w:rPr>
                <w:sz w:val="24"/>
                <w:szCs w:val="24"/>
              </w:rPr>
              <w:t xml:space="preserve"> Originals</w:t>
            </w:r>
          </w:p>
          <w:p w:rsidR="6305B8F6" w:rsidP="6305B8F6" w:rsidRDefault="6305B8F6" w14:paraId="3A1507D7" w14:textId="36E48068">
            <w:pPr>
              <w:pStyle w:val="TableParagraph"/>
              <w:ind w:left="0"/>
              <w:rPr>
                <w:sz w:val="24"/>
                <w:szCs w:val="24"/>
              </w:rPr>
            </w:pPr>
          </w:p>
          <w:p w:rsidR="0E50403A" w:rsidP="6305B8F6" w:rsidRDefault="0E50403A" w14:paraId="093C7AEF" w14:textId="0DBC3E5B">
            <w:pPr>
              <w:pStyle w:val="TableParagraph"/>
              <w:ind w:left="0"/>
              <w:rPr>
                <w:sz w:val="24"/>
                <w:szCs w:val="24"/>
              </w:rPr>
            </w:pPr>
            <w:r w:rsidRPr="6305B8F6">
              <w:rPr>
                <w:sz w:val="24"/>
                <w:szCs w:val="24"/>
              </w:rPr>
              <w:t xml:space="preserve">Original if provided in hardcopy or otherwise if statements obtained via internet banking, on-line </w:t>
            </w:r>
            <w:proofErr w:type="gramStart"/>
            <w:r w:rsidRPr="6305B8F6">
              <w:rPr>
                <w:sz w:val="24"/>
                <w:szCs w:val="24"/>
              </w:rPr>
              <w:t>printouts</w:t>
            </w:r>
            <w:proofErr w:type="gramEnd"/>
          </w:p>
          <w:p w:rsidR="6305B8F6" w:rsidP="6305B8F6" w:rsidRDefault="6305B8F6" w14:paraId="3BEBBAA0" w14:textId="13C15068">
            <w:pPr>
              <w:pStyle w:val="TableParagraph"/>
              <w:ind w:left="0"/>
              <w:rPr>
                <w:sz w:val="24"/>
                <w:szCs w:val="24"/>
              </w:rPr>
            </w:pPr>
          </w:p>
          <w:p w:rsidR="0E50403A" w:rsidP="6305B8F6" w:rsidRDefault="0E50403A" w14:paraId="4F973A6C" w14:textId="65AFE3C1">
            <w:pPr>
              <w:pStyle w:val="TableParagraph"/>
              <w:ind w:left="0"/>
              <w:rPr>
                <w:sz w:val="24"/>
                <w:szCs w:val="24"/>
              </w:rPr>
            </w:pPr>
            <w:r w:rsidRPr="6305B8F6">
              <w:rPr>
                <w:sz w:val="24"/>
                <w:szCs w:val="24"/>
              </w:rPr>
              <w:t>Both</w:t>
            </w:r>
          </w:p>
        </w:tc>
        <w:tc>
          <w:tcPr>
            <w:tcW w:w="3475" w:type="dxa"/>
          </w:tcPr>
          <w:p w:rsidR="6305B8F6" w:rsidP="6305B8F6" w:rsidRDefault="6305B8F6" w14:paraId="0BE1D669" w14:textId="6EEDA498">
            <w:pPr>
              <w:pStyle w:val="TableParagraph"/>
              <w:rPr>
                <w:sz w:val="24"/>
                <w:szCs w:val="24"/>
              </w:rPr>
            </w:pPr>
          </w:p>
          <w:p w:rsidR="0E50403A" w:rsidP="6305B8F6" w:rsidRDefault="0E50403A" w14:paraId="326E864A" w14:textId="021E8C3F">
            <w:pPr>
              <w:pStyle w:val="TableParagraph"/>
              <w:rPr>
                <w:sz w:val="24"/>
                <w:szCs w:val="24"/>
              </w:rPr>
            </w:pPr>
            <w:r w:rsidRPr="6305B8F6">
              <w:rPr>
                <w:sz w:val="24"/>
                <w:szCs w:val="24"/>
              </w:rPr>
              <w:t>6 years from date of issuance</w:t>
            </w:r>
          </w:p>
          <w:p w:rsidR="6305B8F6" w:rsidP="6305B8F6" w:rsidRDefault="6305B8F6" w14:paraId="7A6635DA" w14:textId="2CACE874">
            <w:pPr>
              <w:pStyle w:val="TableParagraph"/>
              <w:rPr>
                <w:sz w:val="24"/>
                <w:szCs w:val="24"/>
              </w:rPr>
            </w:pPr>
          </w:p>
          <w:p w:rsidR="0E50403A" w:rsidP="6305B8F6" w:rsidRDefault="0E50403A" w14:paraId="5B43C33A" w14:textId="772A08DA">
            <w:pPr>
              <w:pStyle w:val="TableParagraph"/>
              <w:rPr>
                <w:sz w:val="24"/>
                <w:szCs w:val="24"/>
              </w:rPr>
            </w:pPr>
            <w:r w:rsidRPr="6305B8F6">
              <w:rPr>
                <w:sz w:val="24"/>
                <w:szCs w:val="24"/>
              </w:rPr>
              <w:t>6 years from date of issuance</w:t>
            </w:r>
          </w:p>
          <w:p w:rsidR="6305B8F6" w:rsidP="6305B8F6" w:rsidRDefault="6305B8F6" w14:paraId="4A974FD3" w14:textId="6B7241C4">
            <w:pPr>
              <w:pStyle w:val="TableParagraph"/>
              <w:rPr>
                <w:sz w:val="24"/>
                <w:szCs w:val="24"/>
              </w:rPr>
            </w:pPr>
          </w:p>
          <w:p w:rsidR="0E50403A" w:rsidP="6305B8F6" w:rsidRDefault="0E50403A" w14:paraId="19B52EFA" w14:textId="1D203F79">
            <w:pPr>
              <w:pStyle w:val="TableParagraph"/>
              <w:rPr>
                <w:sz w:val="24"/>
                <w:szCs w:val="24"/>
              </w:rPr>
            </w:pPr>
            <w:r w:rsidRPr="6305B8F6">
              <w:rPr>
                <w:sz w:val="24"/>
                <w:szCs w:val="24"/>
              </w:rPr>
              <w:t xml:space="preserve">Public Companies: 6 years </w:t>
            </w:r>
          </w:p>
          <w:p w:rsidR="0E50403A" w:rsidP="6305B8F6" w:rsidRDefault="0E50403A" w14:paraId="5A0ADE5B" w14:textId="6CA5EFF1">
            <w:pPr>
              <w:pStyle w:val="TableParagraph"/>
              <w:rPr>
                <w:sz w:val="24"/>
                <w:szCs w:val="24"/>
              </w:rPr>
            </w:pPr>
            <w:r w:rsidRPr="6305B8F6">
              <w:rPr>
                <w:sz w:val="24"/>
                <w:szCs w:val="24"/>
              </w:rPr>
              <w:t>Private Companies: 3 years</w:t>
            </w:r>
          </w:p>
          <w:p w:rsidR="6305B8F6" w:rsidP="6305B8F6" w:rsidRDefault="6305B8F6" w14:paraId="4D9B2959" w14:textId="2A2AB9C3">
            <w:pPr>
              <w:pStyle w:val="TableParagraph"/>
              <w:rPr>
                <w:sz w:val="24"/>
                <w:szCs w:val="24"/>
              </w:rPr>
            </w:pPr>
          </w:p>
          <w:p w:rsidR="6305B8F6" w:rsidP="6305B8F6" w:rsidRDefault="6305B8F6" w14:paraId="169F9507" w14:textId="087CDCDC">
            <w:pPr>
              <w:pStyle w:val="TableParagraph"/>
              <w:rPr>
                <w:sz w:val="24"/>
                <w:szCs w:val="24"/>
              </w:rPr>
            </w:pPr>
          </w:p>
          <w:p w:rsidR="0E50403A" w:rsidP="6305B8F6" w:rsidRDefault="0E50403A" w14:paraId="0FE54EF2" w14:textId="23DB1AE0">
            <w:pPr>
              <w:pStyle w:val="TableParagraph"/>
              <w:rPr>
                <w:sz w:val="24"/>
                <w:szCs w:val="24"/>
              </w:rPr>
            </w:pPr>
            <w:r w:rsidRPr="6305B8F6">
              <w:rPr>
                <w:sz w:val="24"/>
                <w:szCs w:val="24"/>
              </w:rPr>
              <w:t>6 years after ceasing to be effective</w:t>
            </w:r>
          </w:p>
        </w:tc>
      </w:tr>
      <w:tr w:rsidR="6305B8F6" w:rsidTr="098D6404" w14:paraId="4368EEAE" w14:textId="77777777">
        <w:trPr>
          <w:trHeight w:val="300"/>
        </w:trPr>
        <w:tc>
          <w:tcPr>
            <w:tcW w:w="3481" w:type="dxa"/>
          </w:tcPr>
          <w:p w:rsidR="1240D86C" w:rsidP="6305B8F6" w:rsidRDefault="1240D86C" w14:paraId="5A36F254" w14:textId="68D50DD6">
            <w:pPr>
              <w:pStyle w:val="TableParagraph"/>
            </w:pPr>
            <w:r w:rsidRPr="6305B8F6">
              <w:t>Contracts (</w:t>
            </w:r>
            <w:r w:rsidR="00EA77C2">
              <w:t>underhand</w:t>
            </w:r>
            <w:r w:rsidRPr="6305B8F6">
              <w:t>) and relevant correspondence and other related documents (such as PO, credit checks)</w:t>
            </w:r>
          </w:p>
        </w:tc>
        <w:tc>
          <w:tcPr>
            <w:tcW w:w="3474" w:type="dxa"/>
          </w:tcPr>
          <w:p w:rsidR="1240D86C" w:rsidP="6305B8F6" w:rsidRDefault="1240D86C" w14:paraId="082048AB" w14:textId="33B0D59D">
            <w:pPr>
              <w:pStyle w:val="TableParagraph"/>
            </w:pPr>
            <w:r w:rsidRPr="6305B8F6">
              <w:t>End of contract plus 7 years (or to the end of any warranty or service periods, if longer)</w:t>
            </w:r>
          </w:p>
        </w:tc>
        <w:tc>
          <w:tcPr>
            <w:tcW w:w="3475" w:type="dxa"/>
          </w:tcPr>
          <w:p w:rsidR="1240D86C" w:rsidP="6305B8F6" w:rsidRDefault="1240D86C" w14:paraId="7A7348B3" w14:textId="35F76174">
            <w:pPr>
              <w:pStyle w:val="TableParagraph"/>
            </w:pPr>
            <w:r w:rsidRPr="6305B8F6">
              <w:t>Limitation Act 1980.</w:t>
            </w:r>
          </w:p>
        </w:tc>
      </w:tr>
      <w:tr w:rsidR="6305B8F6" w:rsidTr="098D6404" w14:paraId="7003FB85" w14:textId="77777777">
        <w:trPr>
          <w:trHeight w:val="300"/>
        </w:trPr>
        <w:tc>
          <w:tcPr>
            <w:tcW w:w="3481" w:type="dxa"/>
          </w:tcPr>
          <w:p w:rsidR="1240D86C" w:rsidP="6305B8F6" w:rsidRDefault="1240D86C" w14:paraId="399A8926" w14:textId="32B71500">
            <w:pPr>
              <w:pStyle w:val="TableParagraph"/>
            </w:pPr>
            <w:r w:rsidRPr="6305B8F6">
              <w:t>Contracts (executed as a deed) and relevant correspondence and other related documents (such as PO, credit checks)</w:t>
            </w:r>
          </w:p>
        </w:tc>
        <w:tc>
          <w:tcPr>
            <w:tcW w:w="3474" w:type="dxa"/>
          </w:tcPr>
          <w:p w:rsidR="1240D86C" w:rsidP="6305B8F6" w:rsidRDefault="1240D86C" w14:paraId="565E2104" w14:textId="75CA3B2D">
            <w:pPr>
              <w:pStyle w:val="TableParagraph"/>
            </w:pPr>
            <w:r w:rsidRPr="6305B8F6">
              <w:t>End of contract plus 13 years (or to the end of any warranty or service periods, if longer)</w:t>
            </w:r>
          </w:p>
        </w:tc>
        <w:tc>
          <w:tcPr>
            <w:tcW w:w="3475" w:type="dxa"/>
          </w:tcPr>
          <w:p w:rsidR="1240D86C" w:rsidP="6305B8F6" w:rsidRDefault="1240D86C" w14:paraId="34EF4F5D" w14:textId="1ADFEC58">
            <w:pPr>
              <w:pStyle w:val="TableParagraph"/>
            </w:pPr>
            <w:r w:rsidRPr="6305B8F6">
              <w:t>Limitation Act 1980.</w:t>
            </w:r>
          </w:p>
        </w:tc>
      </w:tr>
      <w:tr w:rsidR="6305B8F6" w:rsidTr="098D6404" w14:paraId="1943C478" w14:textId="77777777">
        <w:trPr>
          <w:trHeight w:val="300"/>
        </w:trPr>
        <w:tc>
          <w:tcPr>
            <w:tcW w:w="3481" w:type="dxa"/>
          </w:tcPr>
          <w:p w:rsidR="1240D86C" w:rsidP="6305B8F6" w:rsidRDefault="00EA77C2" w14:paraId="2A0A25B5" w14:textId="488C968E">
            <w:pPr>
              <w:pStyle w:val="TableParagraph"/>
            </w:pPr>
            <w:r>
              <w:t>Tenders/bids</w:t>
            </w:r>
            <w:r w:rsidRPr="6305B8F6" w:rsidR="1240D86C">
              <w:t xml:space="preserve"> for contracts made by Group / Entity (successful)</w:t>
            </w:r>
          </w:p>
        </w:tc>
        <w:tc>
          <w:tcPr>
            <w:tcW w:w="3474" w:type="dxa"/>
          </w:tcPr>
          <w:p w:rsidR="1240D86C" w:rsidP="6305B8F6" w:rsidRDefault="1240D86C" w14:paraId="2E881A63" w14:textId="6CE40FE6">
            <w:pPr>
              <w:pStyle w:val="TableParagraph"/>
            </w:pPr>
            <w:r w:rsidRPr="6305B8F6">
              <w:t>End of contract plus 7 years (or to the end of any warranty or service periods, if longer)</w:t>
            </w:r>
          </w:p>
        </w:tc>
        <w:tc>
          <w:tcPr>
            <w:tcW w:w="3475" w:type="dxa"/>
          </w:tcPr>
          <w:p w:rsidR="1240D86C" w:rsidP="6305B8F6" w:rsidRDefault="1240D86C" w14:paraId="4C208B6E" w14:textId="2B291F8A">
            <w:pPr>
              <w:pStyle w:val="TableParagraph"/>
            </w:pPr>
            <w:r w:rsidRPr="6305B8F6">
              <w:t>Limitation Act 1980.</w:t>
            </w:r>
          </w:p>
        </w:tc>
      </w:tr>
      <w:tr w:rsidR="6305B8F6" w:rsidTr="098D6404" w14:paraId="2167DFA7" w14:textId="77777777">
        <w:trPr>
          <w:trHeight w:val="300"/>
        </w:trPr>
        <w:tc>
          <w:tcPr>
            <w:tcW w:w="3481" w:type="dxa"/>
          </w:tcPr>
          <w:p w:rsidR="1240D86C" w:rsidP="6305B8F6" w:rsidRDefault="00EA77C2" w14:paraId="7A79C033" w14:textId="5C448BC4">
            <w:pPr>
              <w:pStyle w:val="TableParagraph"/>
            </w:pPr>
            <w:r>
              <w:lastRenderedPageBreak/>
              <w:t>Tenders/quotes</w:t>
            </w:r>
            <w:r w:rsidRPr="6305B8F6" w:rsidR="1240D86C">
              <w:t xml:space="preserve"> from suppliers (unsuccessful)</w:t>
            </w:r>
          </w:p>
        </w:tc>
        <w:tc>
          <w:tcPr>
            <w:tcW w:w="3474" w:type="dxa"/>
          </w:tcPr>
          <w:p w:rsidR="1240D86C" w:rsidP="6305B8F6" w:rsidRDefault="1240D86C" w14:paraId="2140081B" w14:textId="074837F9">
            <w:pPr>
              <w:pStyle w:val="TableParagraph"/>
            </w:pPr>
            <w:r w:rsidRPr="6305B8F6">
              <w:t>Last correspondence plus 2 years</w:t>
            </w:r>
          </w:p>
        </w:tc>
        <w:tc>
          <w:tcPr>
            <w:tcW w:w="3475" w:type="dxa"/>
          </w:tcPr>
          <w:p w:rsidR="1240D86C" w:rsidP="6305B8F6" w:rsidRDefault="1240D86C" w14:paraId="5CCA7F3E" w14:textId="242DD272">
            <w:pPr>
              <w:pStyle w:val="TableParagraph"/>
            </w:pPr>
            <w:r w:rsidRPr="6305B8F6">
              <w:t>Limitation Act 1980.</w:t>
            </w:r>
          </w:p>
        </w:tc>
      </w:tr>
      <w:tr w:rsidR="6305B8F6" w:rsidTr="098D6404" w14:paraId="3327AD76" w14:textId="77777777">
        <w:trPr>
          <w:trHeight w:val="300"/>
        </w:trPr>
        <w:tc>
          <w:tcPr>
            <w:tcW w:w="3481" w:type="dxa"/>
          </w:tcPr>
          <w:p w:rsidR="1240D86C" w:rsidP="6305B8F6" w:rsidRDefault="1240D86C" w14:paraId="5FFEC9E2" w14:textId="4D80C1BB">
            <w:pPr>
              <w:pStyle w:val="TableParagraph"/>
            </w:pPr>
            <w:r w:rsidRPr="6305B8F6">
              <w:t>Tenders / quotes from suppliers (successful)</w:t>
            </w:r>
          </w:p>
        </w:tc>
        <w:tc>
          <w:tcPr>
            <w:tcW w:w="3474" w:type="dxa"/>
          </w:tcPr>
          <w:p w:rsidR="1240D86C" w:rsidP="6305B8F6" w:rsidRDefault="1240D86C" w14:paraId="01B61F1D" w14:textId="79556B80">
            <w:pPr>
              <w:pStyle w:val="TableParagraph"/>
            </w:pPr>
            <w:r w:rsidRPr="6305B8F6">
              <w:t>End of contract plus 7 years (or to the end of any warranty or service periods, if longer)</w:t>
            </w:r>
          </w:p>
        </w:tc>
        <w:tc>
          <w:tcPr>
            <w:tcW w:w="3475" w:type="dxa"/>
          </w:tcPr>
          <w:p w:rsidR="1240D86C" w:rsidP="6305B8F6" w:rsidRDefault="1240D86C" w14:paraId="65D93321" w14:textId="531A5EB8">
            <w:pPr>
              <w:pStyle w:val="TableParagraph"/>
            </w:pPr>
            <w:r w:rsidRPr="6305B8F6">
              <w:t>Limitation Act 1980</w:t>
            </w:r>
          </w:p>
        </w:tc>
      </w:tr>
      <w:tr w:rsidR="6305B8F6" w:rsidTr="098D6404" w14:paraId="34561B77" w14:textId="77777777">
        <w:trPr>
          <w:trHeight w:val="300"/>
        </w:trPr>
        <w:tc>
          <w:tcPr>
            <w:tcW w:w="3481" w:type="dxa"/>
          </w:tcPr>
          <w:p w:rsidR="1240D86C" w:rsidP="6305B8F6" w:rsidRDefault="1240D86C" w14:paraId="4AFA7E88" w14:textId="25CFDE0C">
            <w:pPr>
              <w:pStyle w:val="TableParagraph"/>
            </w:pPr>
            <w:r w:rsidRPr="6305B8F6">
              <w:t>Tenders / bids for contracts made by Group / Entity (unsuccessful)</w:t>
            </w:r>
          </w:p>
        </w:tc>
        <w:tc>
          <w:tcPr>
            <w:tcW w:w="3474" w:type="dxa"/>
          </w:tcPr>
          <w:p w:rsidR="1240D86C" w:rsidP="6305B8F6" w:rsidRDefault="1240D86C" w14:paraId="197D72F8" w14:textId="1486F3EB">
            <w:pPr>
              <w:pStyle w:val="TableParagraph"/>
            </w:pPr>
            <w:r w:rsidRPr="6305B8F6">
              <w:t>Last correspondence plus 2 years</w:t>
            </w:r>
          </w:p>
        </w:tc>
        <w:tc>
          <w:tcPr>
            <w:tcW w:w="3475" w:type="dxa"/>
          </w:tcPr>
          <w:p w:rsidR="6305B8F6" w:rsidP="6305B8F6" w:rsidRDefault="6305B8F6" w14:paraId="42042BDA" w14:textId="5CCA3EFF">
            <w:pPr>
              <w:pStyle w:val="TableParagraph"/>
              <w:rPr>
                <w:sz w:val="24"/>
                <w:szCs w:val="24"/>
              </w:rPr>
            </w:pPr>
          </w:p>
        </w:tc>
      </w:tr>
    </w:tbl>
    <w:p w:rsidR="00F0431D" w:rsidP="00F0431D" w:rsidRDefault="00F0431D" w14:paraId="61A56F59" w14:textId="5825AAEC">
      <w:pPr>
        <w:pStyle w:val="Appendix1"/>
        <w:rPr>
          <w:sz w:val="24"/>
          <w:szCs w:val="24"/>
        </w:rPr>
      </w:pPr>
      <w:bookmarkStart w:name="_Toc180415072" w:id="7"/>
      <w:r w:rsidRPr="00F0431D">
        <w:t>Payroll</w:t>
      </w:r>
      <w:bookmarkEnd w:id="7"/>
      <w:r w:rsidRPr="00F0431D">
        <w:tab/>
      </w:r>
      <w:r>
        <w:tab/>
      </w:r>
    </w:p>
    <w:tbl>
      <w:tblPr>
        <w:tblW w:w="1043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3481"/>
        <w:gridCol w:w="3474"/>
        <w:gridCol w:w="3475"/>
      </w:tblGrid>
      <w:tr w:rsidR="6305B8F6" w:rsidTr="098D6404" w14:paraId="759777A9" w14:textId="77777777">
        <w:trPr>
          <w:trHeight w:val="300"/>
        </w:trPr>
        <w:tc>
          <w:tcPr>
            <w:tcW w:w="3481" w:type="dxa"/>
          </w:tcPr>
          <w:p w:rsidR="6305B8F6" w:rsidP="6305B8F6" w:rsidRDefault="6305B8F6" w14:paraId="6B0CE15B" w14:textId="2EC03767">
            <w:pPr>
              <w:pStyle w:val="TableParagraph"/>
              <w:rPr>
                <w:sz w:val="24"/>
                <w:szCs w:val="24"/>
              </w:rPr>
            </w:pPr>
            <w:r w:rsidRPr="6305B8F6">
              <w:rPr>
                <w:sz w:val="24"/>
                <w:szCs w:val="24"/>
              </w:rPr>
              <w:t>Pay records and relevant supporting documents</w:t>
            </w:r>
          </w:p>
        </w:tc>
        <w:tc>
          <w:tcPr>
            <w:tcW w:w="3474" w:type="dxa"/>
          </w:tcPr>
          <w:p w:rsidR="6305B8F6" w:rsidP="6305B8F6" w:rsidRDefault="6305B8F6" w14:paraId="0B563295" w14:textId="1F1A42FC">
            <w:pPr>
              <w:pStyle w:val="TableParagraph"/>
              <w:rPr>
                <w:sz w:val="24"/>
                <w:szCs w:val="24"/>
              </w:rPr>
            </w:pPr>
            <w:r w:rsidRPr="6305B8F6">
              <w:rPr>
                <w:sz w:val="24"/>
                <w:szCs w:val="24"/>
              </w:rPr>
              <w:t>7 years from financial year end (statutory limitation period).</w:t>
            </w:r>
          </w:p>
        </w:tc>
        <w:tc>
          <w:tcPr>
            <w:tcW w:w="3475" w:type="dxa"/>
          </w:tcPr>
          <w:p w:rsidR="6305B8F6" w:rsidP="6305B8F6" w:rsidRDefault="6305B8F6" w14:paraId="182B043D" w14:textId="4D888BD9">
            <w:pPr>
              <w:pStyle w:val="TableParagraph"/>
              <w:rPr>
                <w:sz w:val="24"/>
                <w:szCs w:val="24"/>
              </w:rPr>
            </w:pPr>
            <w:r w:rsidRPr="6305B8F6">
              <w:rPr>
                <w:sz w:val="24"/>
                <w:szCs w:val="24"/>
              </w:rPr>
              <w:t>The time limit for a legal claim of under-payment or unlawful deductions</w:t>
            </w:r>
          </w:p>
        </w:tc>
      </w:tr>
      <w:tr w:rsidR="6305B8F6" w:rsidTr="098D6404" w14:paraId="2C1EBD2F" w14:textId="77777777">
        <w:trPr>
          <w:trHeight w:val="300"/>
        </w:trPr>
        <w:tc>
          <w:tcPr>
            <w:tcW w:w="3481" w:type="dxa"/>
          </w:tcPr>
          <w:p w:rsidR="6305B8F6" w:rsidP="6305B8F6" w:rsidRDefault="6305B8F6" w14:paraId="51DB389A" w14:textId="73A22651">
            <w:pPr>
              <w:pStyle w:val="TableParagraph"/>
              <w:rPr>
                <w:sz w:val="24"/>
                <w:szCs w:val="24"/>
              </w:rPr>
            </w:pPr>
            <w:r w:rsidRPr="6305B8F6">
              <w:rPr>
                <w:sz w:val="24"/>
                <w:szCs w:val="24"/>
              </w:rPr>
              <w:t>Material related to income tax and National Insurance</w:t>
            </w:r>
          </w:p>
        </w:tc>
        <w:tc>
          <w:tcPr>
            <w:tcW w:w="3474" w:type="dxa"/>
          </w:tcPr>
          <w:p w:rsidR="6305B8F6" w:rsidP="6305B8F6" w:rsidRDefault="6305B8F6" w14:paraId="0BC0969C" w14:textId="2EA4F78C">
            <w:pPr>
              <w:pStyle w:val="TableParagraph"/>
              <w:rPr>
                <w:sz w:val="24"/>
                <w:szCs w:val="24"/>
              </w:rPr>
            </w:pPr>
            <w:r w:rsidRPr="6305B8F6">
              <w:rPr>
                <w:sz w:val="24"/>
                <w:szCs w:val="24"/>
              </w:rPr>
              <w:t>3 years after the end of the tax year they relate to</w:t>
            </w:r>
          </w:p>
        </w:tc>
        <w:tc>
          <w:tcPr>
            <w:tcW w:w="3475" w:type="dxa"/>
          </w:tcPr>
          <w:p w:rsidR="6305B8F6" w:rsidP="6305B8F6" w:rsidRDefault="6305B8F6" w14:paraId="00DE6B8F" w14:textId="09B99519">
            <w:pPr>
              <w:pStyle w:val="TableParagraph"/>
              <w:rPr>
                <w:sz w:val="24"/>
                <w:szCs w:val="24"/>
              </w:rPr>
            </w:pPr>
            <w:r w:rsidRPr="6305B8F6">
              <w:rPr>
                <w:sz w:val="24"/>
                <w:szCs w:val="24"/>
              </w:rPr>
              <w:t>Statutory: Income Tax Regulations</w:t>
            </w:r>
          </w:p>
        </w:tc>
      </w:tr>
      <w:tr w:rsidR="6305B8F6" w:rsidTr="098D6404" w14:paraId="1F4BE209" w14:textId="77777777">
        <w:trPr>
          <w:trHeight w:val="300"/>
        </w:trPr>
        <w:tc>
          <w:tcPr>
            <w:tcW w:w="3481" w:type="dxa"/>
          </w:tcPr>
          <w:p w:rsidR="6F0D8B38" w:rsidP="6305B8F6" w:rsidRDefault="6F0D8B38" w14:paraId="4439B87C" w14:textId="29B5AE26">
            <w:pPr>
              <w:pStyle w:val="TableParagraph"/>
              <w:rPr>
                <w:sz w:val="24"/>
                <w:szCs w:val="24"/>
              </w:rPr>
            </w:pPr>
            <w:r w:rsidRPr="6305B8F6">
              <w:rPr>
                <w:sz w:val="24"/>
                <w:szCs w:val="24"/>
              </w:rPr>
              <w:t>Working time records</w:t>
            </w:r>
          </w:p>
        </w:tc>
        <w:tc>
          <w:tcPr>
            <w:tcW w:w="3474" w:type="dxa"/>
          </w:tcPr>
          <w:p w:rsidR="6F0D8B38" w:rsidP="6305B8F6" w:rsidRDefault="6F0D8B38" w14:paraId="08305596" w14:textId="0C96EABB">
            <w:pPr>
              <w:pStyle w:val="TableParagraph"/>
              <w:rPr>
                <w:sz w:val="24"/>
                <w:szCs w:val="24"/>
              </w:rPr>
            </w:pPr>
            <w:r w:rsidRPr="6305B8F6">
              <w:rPr>
                <w:sz w:val="24"/>
                <w:szCs w:val="24"/>
              </w:rPr>
              <w:t>Date on which they were made plus 2 years</w:t>
            </w:r>
          </w:p>
        </w:tc>
        <w:tc>
          <w:tcPr>
            <w:tcW w:w="3475" w:type="dxa"/>
          </w:tcPr>
          <w:p w:rsidR="6F0D8B38" w:rsidP="6305B8F6" w:rsidRDefault="6F0D8B38" w14:paraId="426216AE" w14:textId="35419901">
            <w:pPr>
              <w:pStyle w:val="TableParagraph"/>
              <w:rPr>
                <w:sz w:val="24"/>
                <w:szCs w:val="24"/>
              </w:rPr>
            </w:pPr>
            <w:r w:rsidRPr="6305B8F6">
              <w:rPr>
                <w:sz w:val="24"/>
                <w:szCs w:val="24"/>
              </w:rPr>
              <w:t>The Working Time Regulations 1998.</w:t>
            </w:r>
          </w:p>
        </w:tc>
      </w:tr>
      <w:tr w:rsidR="6305B8F6" w:rsidTr="098D6404" w14:paraId="0EE5A505" w14:textId="77777777">
        <w:trPr>
          <w:trHeight w:val="300"/>
        </w:trPr>
        <w:tc>
          <w:tcPr>
            <w:tcW w:w="3481" w:type="dxa"/>
          </w:tcPr>
          <w:p w:rsidR="6F0D8B38" w:rsidP="6305B8F6" w:rsidRDefault="6F0D8B38" w14:paraId="072E0F43" w14:textId="64E36F14">
            <w:pPr>
              <w:pStyle w:val="TableParagraph"/>
              <w:rPr>
                <w:sz w:val="24"/>
                <w:szCs w:val="24"/>
              </w:rPr>
            </w:pPr>
            <w:r w:rsidRPr="6305B8F6">
              <w:rPr>
                <w:sz w:val="24"/>
                <w:szCs w:val="24"/>
              </w:rPr>
              <w:t>Records concerning pay due to employees during absence from work due to illness</w:t>
            </w:r>
          </w:p>
        </w:tc>
        <w:tc>
          <w:tcPr>
            <w:tcW w:w="3474" w:type="dxa"/>
          </w:tcPr>
          <w:p w:rsidR="6F0D8B38" w:rsidP="6305B8F6" w:rsidRDefault="6F0D8B38" w14:paraId="070ABCA2" w14:textId="4257740F">
            <w:pPr>
              <w:pStyle w:val="TableParagraph"/>
              <w:rPr>
                <w:sz w:val="24"/>
                <w:szCs w:val="24"/>
              </w:rPr>
            </w:pPr>
            <w:r w:rsidRPr="6305B8F6">
              <w:rPr>
                <w:sz w:val="24"/>
                <w:szCs w:val="24"/>
              </w:rPr>
              <w:t>End of the tax year to which they relate plus 3 years</w:t>
            </w:r>
          </w:p>
        </w:tc>
        <w:tc>
          <w:tcPr>
            <w:tcW w:w="3475" w:type="dxa"/>
          </w:tcPr>
          <w:p w:rsidR="6F0D8B38" w:rsidP="6305B8F6" w:rsidRDefault="6F0D8B38" w14:paraId="434F2E71" w14:textId="40B710F9">
            <w:pPr>
              <w:pStyle w:val="TableParagraph"/>
              <w:rPr>
                <w:sz w:val="24"/>
                <w:szCs w:val="24"/>
              </w:rPr>
            </w:pPr>
            <w:r w:rsidRPr="6305B8F6">
              <w:rPr>
                <w:sz w:val="24"/>
                <w:szCs w:val="24"/>
              </w:rPr>
              <w:t>The Statutory Sick Pay (General) Regulations 1982 as amended.</w:t>
            </w:r>
          </w:p>
        </w:tc>
      </w:tr>
      <w:tr w:rsidR="6305B8F6" w:rsidTr="098D6404" w14:paraId="4CA08DBD" w14:textId="77777777">
        <w:trPr>
          <w:trHeight w:val="300"/>
        </w:trPr>
        <w:tc>
          <w:tcPr>
            <w:tcW w:w="3481" w:type="dxa"/>
          </w:tcPr>
          <w:p w:rsidR="6F0D8B38" w:rsidP="6305B8F6" w:rsidRDefault="6F0D8B38" w14:paraId="2C483168" w14:textId="2AF6F8F2">
            <w:pPr>
              <w:pStyle w:val="TableParagraph"/>
              <w:rPr>
                <w:sz w:val="24"/>
                <w:szCs w:val="24"/>
              </w:rPr>
            </w:pPr>
            <w:r w:rsidRPr="6305B8F6">
              <w:rPr>
                <w:sz w:val="24"/>
                <w:szCs w:val="24"/>
              </w:rPr>
              <w:t>Records concerning parental leave / maternity pay or equivalent</w:t>
            </w:r>
          </w:p>
        </w:tc>
        <w:tc>
          <w:tcPr>
            <w:tcW w:w="3474" w:type="dxa"/>
          </w:tcPr>
          <w:p w:rsidR="6F0D8B38" w:rsidP="6305B8F6" w:rsidRDefault="6F0D8B38" w14:paraId="0F49511C" w14:textId="14CDE829">
            <w:pPr>
              <w:pStyle w:val="TableParagraph"/>
              <w:rPr>
                <w:sz w:val="24"/>
                <w:szCs w:val="24"/>
              </w:rPr>
            </w:pPr>
            <w:r w:rsidRPr="6305B8F6">
              <w:rPr>
                <w:sz w:val="24"/>
                <w:szCs w:val="24"/>
              </w:rPr>
              <w:t>End of the tax year in which the parental leave / maternity period ends plus 3 years</w:t>
            </w:r>
          </w:p>
        </w:tc>
        <w:tc>
          <w:tcPr>
            <w:tcW w:w="3475" w:type="dxa"/>
          </w:tcPr>
          <w:p w:rsidR="6F0D8B38" w:rsidP="6305B8F6" w:rsidRDefault="6F0D8B38" w14:paraId="0A5EB6A3" w14:textId="666CFF98">
            <w:pPr>
              <w:pStyle w:val="TableParagraph"/>
              <w:rPr>
                <w:sz w:val="24"/>
                <w:szCs w:val="24"/>
              </w:rPr>
            </w:pPr>
            <w:r w:rsidRPr="6305B8F6">
              <w:rPr>
                <w:sz w:val="24"/>
                <w:szCs w:val="24"/>
              </w:rPr>
              <w:t>The Statutory Maternity Pay (General) Regulations 1986 as amended.</w:t>
            </w:r>
          </w:p>
        </w:tc>
      </w:tr>
      <w:tr w:rsidRPr="00734220" w:rsidR="00791B08" w:rsidTr="098D6404" w14:paraId="0D8BD33C" w14:textId="77777777">
        <w:tc>
          <w:tcPr>
            <w:tcW w:w="3481" w:type="dxa"/>
          </w:tcPr>
          <w:p w:rsidRPr="003169DC" w:rsidR="00791B08" w:rsidP="6305B8F6" w:rsidRDefault="6F0D8B38" w14:paraId="4DAAA93F" w14:textId="4A91DD52">
            <w:r w:rsidRPr="6305B8F6">
              <w:rPr>
                <w:rFonts w:ascii="Calibri" w:hAnsi="Calibri" w:eastAsia="Calibri" w:cs="Calibri"/>
                <w:szCs w:val="24"/>
              </w:rPr>
              <w:t>Minimum wage records</w:t>
            </w:r>
          </w:p>
        </w:tc>
        <w:tc>
          <w:tcPr>
            <w:tcW w:w="3474" w:type="dxa"/>
          </w:tcPr>
          <w:p w:rsidRPr="00734220" w:rsidR="00791B08" w:rsidP="6305B8F6" w:rsidRDefault="6F0D8B38" w14:paraId="272BB86B" w14:textId="60EEB4AC">
            <w:r w:rsidRPr="6305B8F6">
              <w:rPr>
                <w:rFonts w:ascii="Calibri" w:hAnsi="Calibri" w:eastAsia="Calibri" w:cs="Calibri"/>
                <w:szCs w:val="24"/>
              </w:rPr>
              <w:t>End of the pay reference period following the one that the records cover plus 3 years</w:t>
            </w:r>
          </w:p>
        </w:tc>
        <w:tc>
          <w:tcPr>
            <w:tcW w:w="3475" w:type="dxa"/>
          </w:tcPr>
          <w:p w:rsidR="00791B08" w:rsidP="6305B8F6" w:rsidRDefault="6F0D8B38" w14:paraId="534EB53D" w14:textId="66B1FEDA">
            <w:r w:rsidRPr="6305B8F6">
              <w:rPr>
                <w:rFonts w:ascii="Calibri" w:hAnsi="Calibri" w:eastAsia="Calibri" w:cs="Calibri"/>
                <w:szCs w:val="24"/>
              </w:rPr>
              <w:t>National Minimum Wage Act 1998.</w:t>
            </w:r>
          </w:p>
        </w:tc>
      </w:tr>
    </w:tbl>
    <w:p w:rsidR="00A3768D" w:rsidRDefault="00A3768D" w14:paraId="01141D6C" w14:textId="1207634C">
      <w:pPr>
        <w:ind w:right="-1150"/>
        <w:rPr>
          <w:rFonts w:ascii="Calibri" w:hAnsi="Calibri" w:eastAsia="Calibri" w:cs="Calibri"/>
          <w:b/>
        </w:rPr>
      </w:pPr>
    </w:p>
    <w:p w:rsidRPr="00A3768D" w:rsidR="004433B7" w:rsidRDefault="004433B7" w14:paraId="45710ED7" w14:textId="753830F2">
      <w:pPr>
        <w:pStyle w:val="Appendix1"/>
      </w:pPr>
      <w:bookmarkStart w:name="_Toc180415073" w:id="8"/>
      <w:bookmarkEnd w:id="6"/>
      <w:r>
        <w:t>Marketing</w:t>
      </w:r>
      <w:r w:rsidR="00B65239">
        <w:t xml:space="preserve"> </w:t>
      </w:r>
      <w:r w:rsidR="538E1C06">
        <w:t>and Customers</w:t>
      </w:r>
      <w:bookmarkEnd w:id="8"/>
    </w:p>
    <w:tbl>
      <w:tblPr>
        <w:tblW w:w="1043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4673"/>
        <w:gridCol w:w="4111"/>
        <w:gridCol w:w="1646"/>
      </w:tblGrid>
      <w:tr w:rsidRPr="00734220" w:rsidR="004433B7" w:rsidTr="596F3EA2" w14:paraId="72538259" w14:textId="77777777">
        <w:trPr>
          <w:trHeight w:val="540"/>
        </w:trPr>
        <w:tc>
          <w:tcPr>
            <w:tcW w:w="4673" w:type="dxa"/>
            <w:shd w:val="clear" w:color="auto" w:fill="C6D9F1" w:themeFill="text2" w:themeFillTint="33"/>
          </w:tcPr>
          <w:p w:rsidRPr="00734220" w:rsidR="004433B7" w:rsidP="00E86BDB" w:rsidRDefault="004433B7" w14:paraId="1D532B9E" w14:textId="77777777">
            <w:pPr>
              <w:jc w:val="center"/>
              <w:rPr>
                <w:rFonts w:ascii="Calibri" w:hAnsi="Calibri" w:eastAsia="Calibri" w:cs="Calibri"/>
                <w:b/>
                <w:szCs w:val="24"/>
              </w:rPr>
            </w:pPr>
            <w:r w:rsidRPr="00734220">
              <w:rPr>
                <w:rFonts w:ascii="Calibri" w:hAnsi="Calibri" w:eastAsia="Calibri" w:cs="Calibri"/>
                <w:b/>
                <w:szCs w:val="24"/>
              </w:rPr>
              <w:t>Type of Material</w:t>
            </w:r>
          </w:p>
          <w:p w:rsidRPr="00734220" w:rsidR="004433B7" w:rsidP="00E86BDB" w:rsidRDefault="004433B7" w14:paraId="1ABD1A40" w14:textId="77777777">
            <w:pPr>
              <w:jc w:val="center"/>
              <w:rPr>
                <w:rFonts w:ascii="Calibri" w:hAnsi="Calibri" w:eastAsia="Calibri" w:cs="Calibri"/>
                <w:b/>
                <w:szCs w:val="24"/>
              </w:rPr>
            </w:pPr>
          </w:p>
        </w:tc>
        <w:tc>
          <w:tcPr>
            <w:tcW w:w="4111" w:type="dxa"/>
            <w:shd w:val="clear" w:color="auto" w:fill="C6D9F1" w:themeFill="text2" w:themeFillTint="33"/>
          </w:tcPr>
          <w:p w:rsidRPr="00734220" w:rsidR="004433B7" w:rsidP="00E86BDB" w:rsidRDefault="004433B7" w14:paraId="63A4D886" w14:textId="77777777">
            <w:pPr>
              <w:jc w:val="center"/>
              <w:rPr>
                <w:rFonts w:ascii="Calibri" w:hAnsi="Calibri" w:eastAsia="Calibri" w:cs="Calibri"/>
                <w:b/>
                <w:szCs w:val="24"/>
              </w:rPr>
            </w:pPr>
            <w:r w:rsidRPr="00734220">
              <w:rPr>
                <w:rFonts w:ascii="Calibri" w:hAnsi="Calibri" w:eastAsia="Calibri" w:cs="Calibri"/>
                <w:b/>
                <w:szCs w:val="24"/>
              </w:rPr>
              <w:t>Minimum Retention Period</w:t>
            </w:r>
          </w:p>
        </w:tc>
        <w:tc>
          <w:tcPr>
            <w:tcW w:w="1646" w:type="dxa"/>
            <w:shd w:val="clear" w:color="auto" w:fill="C6D9F1" w:themeFill="text2" w:themeFillTint="33"/>
          </w:tcPr>
          <w:p w:rsidRPr="00734220" w:rsidR="004433B7" w:rsidP="00E86BDB" w:rsidRDefault="004433B7" w14:paraId="46136D43" w14:textId="77777777">
            <w:pPr>
              <w:jc w:val="center"/>
              <w:rPr>
                <w:rFonts w:ascii="Calibri" w:hAnsi="Calibri" w:eastAsia="Calibri" w:cs="Calibri"/>
                <w:b/>
                <w:szCs w:val="24"/>
              </w:rPr>
            </w:pPr>
            <w:r w:rsidRPr="00734220">
              <w:rPr>
                <w:rFonts w:ascii="Calibri" w:hAnsi="Calibri" w:eastAsia="Calibri" w:cs="Calibri"/>
                <w:b/>
                <w:szCs w:val="24"/>
              </w:rPr>
              <w:t>Reason</w:t>
            </w:r>
          </w:p>
        </w:tc>
      </w:tr>
      <w:tr w:rsidRPr="00734220" w:rsidR="004433B7" w:rsidTr="596F3EA2" w14:paraId="523B799A" w14:textId="77777777">
        <w:tc>
          <w:tcPr>
            <w:tcW w:w="4673" w:type="dxa"/>
          </w:tcPr>
          <w:p w:rsidRPr="00D11D48" w:rsidR="004433B7" w:rsidP="5D1D556F" w:rsidRDefault="7BF5C061" w14:paraId="08BC7677" w14:textId="65FAA904">
            <w:pPr>
              <w:pStyle w:val="TableParagraph"/>
              <w:rPr>
                <w:sz w:val="24"/>
                <w:szCs w:val="24"/>
              </w:rPr>
            </w:pPr>
            <w:r w:rsidRPr="00D11D48">
              <w:rPr>
                <w:sz w:val="24"/>
                <w:szCs w:val="24"/>
              </w:rPr>
              <w:t xml:space="preserve">Personal data used to contact existing customers (this may include email, telephone number, postal address) or select marketing audiences from the existing customers (this may include demographic information, marketing preferences and permission, communication history, and variables derived from the individual’s </w:t>
            </w:r>
            <w:r w:rsidRPr="00D11D48">
              <w:rPr>
                <w:sz w:val="24"/>
                <w:szCs w:val="24"/>
              </w:rPr>
              <w:lastRenderedPageBreak/>
              <w:t>transactional))</w:t>
            </w:r>
          </w:p>
        </w:tc>
        <w:tc>
          <w:tcPr>
            <w:tcW w:w="4111" w:type="dxa"/>
          </w:tcPr>
          <w:p w:rsidRPr="00D11D48" w:rsidR="004433B7" w:rsidP="5D1D556F" w:rsidRDefault="7BF5C061" w14:paraId="41195686" w14:textId="56647F6D">
            <w:pPr>
              <w:pStyle w:val="TableParagraph"/>
              <w:rPr>
                <w:sz w:val="24"/>
                <w:szCs w:val="24"/>
              </w:rPr>
            </w:pPr>
            <w:r w:rsidRPr="00D11D48">
              <w:rPr>
                <w:sz w:val="24"/>
                <w:szCs w:val="24"/>
              </w:rPr>
              <w:lastRenderedPageBreak/>
              <w:t>Typically, 12-24 months from last interaction with (depending on context).</w:t>
            </w:r>
            <w:r w:rsidRPr="00D11D48" w:rsidR="6B1FF96A">
              <w:rPr>
                <w:sz w:val="24"/>
                <w:szCs w:val="24"/>
              </w:rPr>
              <w:t xml:space="preserve"> </w:t>
            </w:r>
            <w:r w:rsidRPr="00D11D48" w:rsidR="7D7AEE32">
              <w:rPr>
                <w:sz w:val="24"/>
                <w:szCs w:val="24"/>
              </w:rPr>
              <w:t>Generally,</w:t>
            </w:r>
            <w:r w:rsidRPr="00D11D48" w:rsidR="6B1FF96A">
              <w:rPr>
                <w:sz w:val="24"/>
                <w:szCs w:val="24"/>
              </w:rPr>
              <w:t xml:space="preserve"> will be removed </w:t>
            </w:r>
            <w:r w:rsidRPr="00D11D48" w:rsidR="574F3E93">
              <w:rPr>
                <w:sz w:val="24"/>
                <w:szCs w:val="24"/>
              </w:rPr>
              <w:t>immediately when unsubscribed</w:t>
            </w:r>
          </w:p>
        </w:tc>
        <w:tc>
          <w:tcPr>
            <w:tcW w:w="1646" w:type="dxa"/>
          </w:tcPr>
          <w:p w:rsidRPr="004433B7" w:rsidR="004433B7" w:rsidP="5D1D556F" w:rsidRDefault="004433B7" w14:paraId="04191B5D" w14:textId="7722A25C">
            <w:pPr>
              <w:pStyle w:val="TableParagraph"/>
              <w:rPr>
                <w:sz w:val="24"/>
                <w:szCs w:val="24"/>
              </w:rPr>
            </w:pPr>
          </w:p>
        </w:tc>
      </w:tr>
      <w:tr w:rsidRPr="00734220" w:rsidR="004433B7" w:rsidTr="596F3EA2" w14:paraId="6947FE8E" w14:textId="77777777">
        <w:tc>
          <w:tcPr>
            <w:tcW w:w="4673" w:type="dxa"/>
          </w:tcPr>
          <w:p w:rsidRPr="00D11D48" w:rsidR="004433B7" w:rsidP="5D1D556F" w:rsidRDefault="7BF5C061" w14:paraId="4EB4F956" w14:textId="4EC49CDA">
            <w:pPr>
              <w:pStyle w:val="TableParagraph"/>
              <w:rPr>
                <w:sz w:val="24"/>
                <w:szCs w:val="24"/>
              </w:rPr>
            </w:pPr>
            <w:r w:rsidRPr="00D11D48">
              <w:rPr>
                <w:sz w:val="24"/>
                <w:szCs w:val="24"/>
              </w:rPr>
              <w:t>Personal data used to contact prospective customers based on consent (this may include email and telephone number) or select audiences from prospective customers for marketing through electronic channels (this may include demographic information, marketing preferences, and communication history)</w:t>
            </w:r>
          </w:p>
        </w:tc>
        <w:tc>
          <w:tcPr>
            <w:tcW w:w="4111" w:type="dxa"/>
          </w:tcPr>
          <w:p w:rsidRPr="00D11D48" w:rsidR="004433B7" w:rsidP="5D1D556F" w:rsidRDefault="7BF5C061" w14:paraId="0FCE43C4" w14:textId="00198950">
            <w:pPr>
              <w:pStyle w:val="TableParagraph"/>
              <w:rPr>
                <w:sz w:val="24"/>
                <w:szCs w:val="24"/>
              </w:rPr>
            </w:pPr>
            <w:r w:rsidRPr="00D11D48">
              <w:rPr>
                <w:sz w:val="24"/>
                <w:szCs w:val="24"/>
              </w:rPr>
              <w:t>If the contact took place, 3 months from the contact date; if the contact did not take place, 6 months after initial collection.</w:t>
            </w:r>
            <w:r w:rsidRPr="00D11D48" w:rsidR="229F24C6">
              <w:rPr>
                <w:sz w:val="24"/>
                <w:szCs w:val="24"/>
              </w:rPr>
              <w:t xml:space="preserve"> Generally, will be removed immediately when unsubscribed</w:t>
            </w:r>
          </w:p>
        </w:tc>
        <w:tc>
          <w:tcPr>
            <w:tcW w:w="1646" w:type="dxa"/>
          </w:tcPr>
          <w:p w:rsidRPr="004433B7" w:rsidR="004433B7" w:rsidP="5D1D556F" w:rsidRDefault="004433B7" w14:paraId="770A82C7" w14:textId="644BE190">
            <w:pPr>
              <w:pStyle w:val="TableParagraph"/>
              <w:rPr>
                <w:sz w:val="24"/>
                <w:szCs w:val="24"/>
              </w:rPr>
            </w:pPr>
          </w:p>
        </w:tc>
      </w:tr>
      <w:tr w:rsidRPr="00734220" w:rsidR="004433B7" w:rsidTr="596F3EA2" w14:paraId="7AFD70F3" w14:textId="77777777">
        <w:tc>
          <w:tcPr>
            <w:tcW w:w="4673" w:type="dxa"/>
          </w:tcPr>
          <w:p w:rsidRPr="004433B7" w:rsidR="004433B7" w:rsidP="5D1D556F" w:rsidRDefault="7BF5C061" w14:paraId="09FD8DF1" w14:textId="0A96414D">
            <w:pPr>
              <w:pStyle w:val="TableParagraph"/>
              <w:rPr>
                <w:sz w:val="24"/>
                <w:szCs w:val="24"/>
              </w:rPr>
            </w:pPr>
            <w:r w:rsidRPr="5D1D556F">
              <w:rPr>
                <w:sz w:val="24"/>
                <w:szCs w:val="24"/>
              </w:rPr>
              <w:t>Personal data used to carry out suppression requests (this may include email, telephone number, and postal address)</w:t>
            </w:r>
          </w:p>
        </w:tc>
        <w:tc>
          <w:tcPr>
            <w:tcW w:w="4111" w:type="dxa"/>
          </w:tcPr>
          <w:p w:rsidRPr="004433B7" w:rsidR="004433B7" w:rsidP="5D1D556F" w:rsidRDefault="7BF5C061" w14:paraId="5F3B0FCB" w14:textId="680E229C">
            <w:pPr>
              <w:pStyle w:val="TableParagraph"/>
              <w:rPr>
                <w:sz w:val="24"/>
                <w:szCs w:val="24"/>
              </w:rPr>
            </w:pPr>
            <w:r w:rsidRPr="5D1D556F">
              <w:rPr>
                <w:sz w:val="24"/>
                <w:szCs w:val="24"/>
              </w:rPr>
              <w:t xml:space="preserve">Until you remove the risk of sourcing the contact details and inadvertently contacting the individual </w:t>
            </w:r>
            <w:r w:rsidRPr="5D1D556F" w:rsidR="6379348D">
              <w:rPr>
                <w:sz w:val="24"/>
                <w:szCs w:val="24"/>
              </w:rPr>
              <w:t>again,</w:t>
            </w:r>
            <w:r w:rsidRPr="5D1D556F">
              <w:rPr>
                <w:sz w:val="24"/>
                <w:szCs w:val="24"/>
              </w:rPr>
              <w:t xml:space="preserve"> please note that you should minimise the record to minimum information necessary to identify the individual for suppression purposes.</w:t>
            </w:r>
          </w:p>
        </w:tc>
        <w:tc>
          <w:tcPr>
            <w:tcW w:w="1646" w:type="dxa"/>
          </w:tcPr>
          <w:p w:rsidRPr="004433B7" w:rsidR="004433B7" w:rsidP="5D1D556F" w:rsidRDefault="004433B7" w14:paraId="77D9D641" w14:textId="17C7DF64">
            <w:pPr>
              <w:pStyle w:val="TableParagraph"/>
              <w:rPr>
                <w:sz w:val="24"/>
                <w:szCs w:val="24"/>
              </w:rPr>
            </w:pPr>
          </w:p>
        </w:tc>
      </w:tr>
      <w:tr w:rsidRPr="00734220" w:rsidR="004433B7" w:rsidTr="596F3EA2" w14:paraId="347C891F" w14:textId="77777777">
        <w:tc>
          <w:tcPr>
            <w:tcW w:w="4673" w:type="dxa"/>
            <w:shd w:val="clear" w:color="auto" w:fill="auto"/>
          </w:tcPr>
          <w:p w:rsidRPr="004433B7" w:rsidR="004433B7" w:rsidP="5D1D556F" w:rsidRDefault="7BF5C061" w14:paraId="67E3057F" w14:textId="69609E10">
            <w:pPr>
              <w:pStyle w:val="TableParagraph"/>
              <w:rPr>
                <w:sz w:val="24"/>
                <w:szCs w:val="24"/>
              </w:rPr>
            </w:pPr>
            <w:r w:rsidRPr="5D1D556F">
              <w:rPr>
                <w:sz w:val="24"/>
                <w:szCs w:val="24"/>
              </w:rPr>
              <w:t>Personal data used for campaign performance measurement</w:t>
            </w:r>
          </w:p>
        </w:tc>
        <w:tc>
          <w:tcPr>
            <w:tcW w:w="4111" w:type="dxa"/>
            <w:shd w:val="clear" w:color="auto" w:fill="auto"/>
          </w:tcPr>
          <w:p w:rsidRPr="004433B7" w:rsidR="004433B7" w:rsidP="5D1D556F" w:rsidRDefault="7BF5C061" w14:paraId="0B56D6A5" w14:textId="38D8BF5A">
            <w:pPr>
              <w:pStyle w:val="TableParagraph"/>
              <w:rPr>
                <w:sz w:val="24"/>
                <w:szCs w:val="24"/>
              </w:rPr>
            </w:pPr>
            <w:r w:rsidRPr="5D1D556F">
              <w:rPr>
                <w:sz w:val="24"/>
                <w:szCs w:val="24"/>
              </w:rPr>
              <w:t xml:space="preserve">13 months from the campaign end date (but if you can </w:t>
            </w:r>
            <w:proofErr w:type="spellStart"/>
            <w:r w:rsidRPr="5D1D556F">
              <w:rPr>
                <w:sz w:val="24"/>
                <w:szCs w:val="24"/>
              </w:rPr>
              <w:t>anonymise</w:t>
            </w:r>
            <w:proofErr w:type="spellEnd"/>
            <w:r w:rsidRPr="5D1D556F">
              <w:rPr>
                <w:sz w:val="24"/>
                <w:szCs w:val="24"/>
              </w:rPr>
              <w:t xml:space="preserve"> the data and it is still useful then for no longer than necessary to </w:t>
            </w:r>
            <w:proofErr w:type="spellStart"/>
            <w:r w:rsidRPr="5D1D556F">
              <w:rPr>
                <w:sz w:val="24"/>
                <w:szCs w:val="24"/>
              </w:rPr>
              <w:t>anonymise</w:t>
            </w:r>
            <w:proofErr w:type="spellEnd"/>
            <w:r w:rsidRPr="5D1D556F">
              <w:rPr>
                <w:sz w:val="24"/>
                <w:szCs w:val="24"/>
              </w:rPr>
              <w:t xml:space="preserve"> it).</w:t>
            </w:r>
          </w:p>
        </w:tc>
        <w:tc>
          <w:tcPr>
            <w:tcW w:w="1646" w:type="dxa"/>
            <w:shd w:val="clear" w:color="auto" w:fill="auto"/>
          </w:tcPr>
          <w:p w:rsidRPr="004433B7" w:rsidR="004433B7" w:rsidP="5D1D556F" w:rsidRDefault="004433B7" w14:paraId="1D7534EF" w14:textId="6E31BB08">
            <w:pPr>
              <w:pStyle w:val="TableParagraph"/>
              <w:tabs>
                <w:tab w:val="left" w:pos="1080"/>
              </w:tabs>
              <w:rPr>
                <w:sz w:val="24"/>
                <w:szCs w:val="24"/>
              </w:rPr>
            </w:pPr>
          </w:p>
        </w:tc>
      </w:tr>
      <w:tr w:rsidRPr="00734220" w:rsidR="004433B7" w:rsidTr="596F3EA2" w14:paraId="472CEC2E" w14:textId="77777777">
        <w:tc>
          <w:tcPr>
            <w:tcW w:w="4673" w:type="dxa"/>
          </w:tcPr>
          <w:p w:rsidRPr="004433B7" w:rsidR="004433B7" w:rsidP="5D1D556F" w:rsidRDefault="7BF5C061" w14:paraId="28A52B00" w14:textId="606E2282">
            <w:pPr>
              <w:pStyle w:val="TableParagraph"/>
              <w:rPr>
                <w:sz w:val="24"/>
                <w:szCs w:val="24"/>
              </w:rPr>
            </w:pPr>
            <w:proofErr w:type="spellStart"/>
            <w:r w:rsidRPr="5D1D556F">
              <w:rPr>
                <w:sz w:val="24"/>
                <w:szCs w:val="24"/>
              </w:rPr>
              <w:t>Anonymised</w:t>
            </w:r>
            <w:proofErr w:type="spellEnd"/>
            <w:r w:rsidRPr="5D1D556F">
              <w:rPr>
                <w:sz w:val="24"/>
                <w:szCs w:val="24"/>
              </w:rPr>
              <w:t xml:space="preserve"> data used for analytical or statistical purposes</w:t>
            </w:r>
          </w:p>
        </w:tc>
        <w:tc>
          <w:tcPr>
            <w:tcW w:w="4111" w:type="dxa"/>
          </w:tcPr>
          <w:p w:rsidRPr="004433B7" w:rsidR="004433B7" w:rsidP="5D1D556F" w:rsidRDefault="7BF5C061" w14:paraId="636F7671" w14:textId="54383D90">
            <w:pPr>
              <w:pStyle w:val="TableParagraph"/>
              <w:rPr>
                <w:sz w:val="24"/>
                <w:szCs w:val="24"/>
              </w:rPr>
            </w:pPr>
            <w:r w:rsidRPr="5D1D556F">
              <w:rPr>
                <w:sz w:val="24"/>
                <w:szCs w:val="24"/>
              </w:rPr>
              <w:t xml:space="preserve">Indefinitely (but review every 5 years to make sure retention remains useful, even if </w:t>
            </w:r>
            <w:proofErr w:type="spellStart"/>
            <w:r w:rsidRPr="5D1D556F">
              <w:rPr>
                <w:sz w:val="24"/>
                <w:szCs w:val="24"/>
              </w:rPr>
              <w:t>anonymised</w:t>
            </w:r>
            <w:proofErr w:type="spellEnd"/>
            <w:r w:rsidRPr="5D1D556F">
              <w:rPr>
                <w:sz w:val="24"/>
                <w:szCs w:val="24"/>
              </w:rPr>
              <w:t xml:space="preserve"> data is out of scope of GDPR).</w:t>
            </w:r>
          </w:p>
        </w:tc>
        <w:tc>
          <w:tcPr>
            <w:tcW w:w="1646" w:type="dxa"/>
          </w:tcPr>
          <w:p w:rsidRPr="004433B7" w:rsidR="004433B7" w:rsidP="5D1D556F" w:rsidRDefault="004433B7" w14:paraId="461FA5EA" w14:textId="0C9EB2E1">
            <w:pPr>
              <w:pStyle w:val="TableParagraph"/>
              <w:rPr>
                <w:sz w:val="24"/>
                <w:szCs w:val="24"/>
              </w:rPr>
            </w:pPr>
          </w:p>
        </w:tc>
      </w:tr>
      <w:tr w:rsidRPr="00734220" w:rsidR="004433B7" w:rsidTr="596F3EA2" w14:paraId="60E9E981" w14:textId="77777777">
        <w:tc>
          <w:tcPr>
            <w:tcW w:w="4673" w:type="dxa"/>
          </w:tcPr>
          <w:p w:rsidRPr="004433B7" w:rsidR="004433B7" w:rsidP="5D1D556F" w:rsidRDefault="7BF5C061" w14:paraId="216D8950" w14:textId="7AC7D558">
            <w:pPr>
              <w:pStyle w:val="TableParagraph"/>
              <w:rPr>
                <w:sz w:val="24"/>
                <w:szCs w:val="24"/>
              </w:rPr>
            </w:pPr>
            <w:r w:rsidRPr="5D1D556F">
              <w:rPr>
                <w:sz w:val="24"/>
                <w:szCs w:val="24"/>
              </w:rPr>
              <w:t>Images, photography, film, case studies and related consent forms linked to the said media coverage for use in marketing materials and campaigns</w:t>
            </w:r>
          </w:p>
        </w:tc>
        <w:tc>
          <w:tcPr>
            <w:tcW w:w="4111" w:type="dxa"/>
          </w:tcPr>
          <w:p w:rsidRPr="004433B7" w:rsidR="004433B7" w:rsidP="5D1D556F" w:rsidRDefault="7BF5C061" w14:paraId="02398B6C" w14:textId="355EDE96">
            <w:pPr>
              <w:pStyle w:val="TableParagraph"/>
              <w:rPr>
                <w:sz w:val="24"/>
                <w:szCs w:val="24"/>
              </w:rPr>
            </w:pPr>
            <w:r w:rsidRPr="5D1D556F">
              <w:rPr>
                <w:sz w:val="24"/>
                <w:szCs w:val="24"/>
              </w:rPr>
              <w:t>Typically, 2-3 years from consent expiry for use in marketing materials.</w:t>
            </w:r>
          </w:p>
        </w:tc>
        <w:tc>
          <w:tcPr>
            <w:tcW w:w="1646" w:type="dxa"/>
          </w:tcPr>
          <w:p w:rsidRPr="004433B7" w:rsidR="004433B7" w:rsidP="5D1D556F" w:rsidRDefault="004433B7" w14:paraId="2CFF804E" w14:textId="77777777">
            <w:pPr>
              <w:pStyle w:val="TableParagraph"/>
              <w:rPr>
                <w:sz w:val="24"/>
                <w:szCs w:val="24"/>
              </w:rPr>
            </w:pPr>
          </w:p>
        </w:tc>
      </w:tr>
      <w:tr w:rsidRPr="00734220" w:rsidR="004433B7" w:rsidTr="596F3EA2" w14:paraId="33AFEB8E" w14:textId="77777777">
        <w:tc>
          <w:tcPr>
            <w:tcW w:w="4673" w:type="dxa"/>
          </w:tcPr>
          <w:p w:rsidRPr="004433B7" w:rsidR="004433B7" w:rsidP="5D1D556F" w:rsidRDefault="7BF5C061" w14:paraId="08AFEA69" w14:textId="438DCB8A">
            <w:pPr>
              <w:pStyle w:val="TableParagraph"/>
              <w:rPr>
                <w:sz w:val="24"/>
                <w:szCs w:val="24"/>
              </w:rPr>
            </w:pPr>
            <w:r w:rsidRPr="5D1D556F">
              <w:rPr>
                <w:sz w:val="24"/>
                <w:szCs w:val="24"/>
              </w:rPr>
              <w:t>Media coverage – records held consisting of news stories placed or press coverage received.</w:t>
            </w:r>
          </w:p>
        </w:tc>
        <w:tc>
          <w:tcPr>
            <w:tcW w:w="4111" w:type="dxa"/>
          </w:tcPr>
          <w:p w:rsidRPr="004433B7" w:rsidR="004433B7" w:rsidP="5D1D556F" w:rsidRDefault="7BF5C061" w14:paraId="5FC06AE0" w14:textId="1219A4CE">
            <w:pPr>
              <w:pStyle w:val="TableParagraph"/>
              <w:rPr>
                <w:sz w:val="24"/>
                <w:szCs w:val="24"/>
              </w:rPr>
            </w:pPr>
            <w:r w:rsidRPr="5D1D556F">
              <w:rPr>
                <w:sz w:val="24"/>
                <w:szCs w:val="24"/>
              </w:rPr>
              <w:t>Typically, review after 3-5 years to determine if the coverage is historically important; part of a crisis piece; or relates to an organisational priority that needs further retention.</w:t>
            </w:r>
          </w:p>
        </w:tc>
        <w:tc>
          <w:tcPr>
            <w:tcW w:w="1646" w:type="dxa"/>
          </w:tcPr>
          <w:p w:rsidRPr="004433B7" w:rsidR="004433B7" w:rsidP="5D1D556F" w:rsidRDefault="004433B7" w14:paraId="73D0FE12" w14:textId="31C647B9">
            <w:pPr>
              <w:pStyle w:val="TableParagraph"/>
              <w:rPr>
                <w:sz w:val="24"/>
                <w:szCs w:val="24"/>
              </w:rPr>
            </w:pPr>
          </w:p>
        </w:tc>
      </w:tr>
      <w:tr w:rsidRPr="00734220" w:rsidR="004433B7" w:rsidTr="596F3EA2" w14:paraId="5B90D2D1" w14:textId="77777777">
        <w:tc>
          <w:tcPr>
            <w:tcW w:w="4673" w:type="dxa"/>
          </w:tcPr>
          <w:p w:rsidRPr="004433B7" w:rsidR="004433B7" w:rsidP="5D1D556F" w:rsidRDefault="7BF5C061" w14:paraId="7EEC7987" w14:textId="462B2991">
            <w:pPr>
              <w:pStyle w:val="TableParagraph"/>
              <w:rPr>
                <w:sz w:val="24"/>
                <w:szCs w:val="24"/>
              </w:rPr>
            </w:pPr>
            <w:r w:rsidRPr="5D1D556F">
              <w:rPr>
                <w:sz w:val="24"/>
                <w:szCs w:val="24"/>
              </w:rPr>
              <w:t>Competition and prize draw records, including adverts, rules and, if applicable, official answers to questions set</w:t>
            </w:r>
          </w:p>
        </w:tc>
        <w:tc>
          <w:tcPr>
            <w:tcW w:w="4111" w:type="dxa"/>
          </w:tcPr>
          <w:p w:rsidRPr="004433B7" w:rsidR="004433B7" w:rsidP="5D1D556F" w:rsidRDefault="7BF5C061" w14:paraId="50FF332B" w14:textId="06E5380A">
            <w:pPr>
              <w:pStyle w:val="TableParagraph"/>
              <w:rPr>
                <w:sz w:val="24"/>
                <w:szCs w:val="24"/>
              </w:rPr>
            </w:pPr>
            <w:r w:rsidRPr="5D1D556F">
              <w:rPr>
                <w:sz w:val="24"/>
                <w:szCs w:val="24"/>
              </w:rPr>
              <w:t>Date of last event of a competition (close of the competition, winner selection, expiry for a winner to claim/select prize) plus typically 1-2 years.</w:t>
            </w:r>
          </w:p>
        </w:tc>
        <w:tc>
          <w:tcPr>
            <w:tcW w:w="1646" w:type="dxa"/>
          </w:tcPr>
          <w:p w:rsidRPr="004433B7" w:rsidR="004433B7" w:rsidP="5D1D556F" w:rsidRDefault="004433B7" w14:paraId="695ACDAA" w14:textId="5430D550">
            <w:pPr>
              <w:pStyle w:val="TableParagraph"/>
              <w:rPr>
                <w:sz w:val="24"/>
                <w:szCs w:val="24"/>
              </w:rPr>
            </w:pPr>
          </w:p>
        </w:tc>
      </w:tr>
    </w:tbl>
    <w:p w:rsidR="00B65239" w:rsidP="5D1D556F" w:rsidRDefault="00B65239" w14:paraId="4A0EB721" w14:textId="77777777">
      <w:pPr>
        <w:pStyle w:val="TableParagraph"/>
        <w:rPr>
          <w:sz w:val="24"/>
          <w:szCs w:val="24"/>
        </w:rPr>
      </w:pPr>
    </w:p>
    <w:p w:rsidR="00D11D48" w:rsidP="5D1D556F" w:rsidRDefault="00D11D48" w14:paraId="6D2C6192" w14:textId="77777777">
      <w:pPr>
        <w:pStyle w:val="TableParagraph"/>
        <w:rPr>
          <w:sz w:val="24"/>
          <w:szCs w:val="24"/>
        </w:rPr>
      </w:pPr>
    </w:p>
    <w:p w:rsidR="00B65239" w:rsidP="5D1D556F" w:rsidRDefault="00B65239" w14:paraId="1F19EE90" w14:textId="5AA82090">
      <w:pPr>
        <w:pStyle w:val="TableParagraph"/>
        <w:rPr>
          <w:b/>
          <w:bCs/>
          <w:sz w:val="24"/>
          <w:szCs w:val="24"/>
        </w:rPr>
      </w:pPr>
    </w:p>
    <w:p w:rsidRPr="00A3768D" w:rsidR="004433B7" w:rsidP="009B4AAD" w:rsidRDefault="7BF5C061" w14:paraId="66FA9804" w14:textId="631013FB">
      <w:pPr>
        <w:pStyle w:val="Appendix1"/>
      </w:pPr>
      <w:bookmarkStart w:name="_Toc180415074" w:id="9"/>
      <w:r w:rsidRPr="5D1D556F">
        <w:lastRenderedPageBreak/>
        <w:t>Health and safety and environmental records</w:t>
      </w:r>
      <w:bookmarkEnd w:id="9"/>
    </w:p>
    <w:tbl>
      <w:tblPr>
        <w:tblW w:w="1043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3823"/>
        <w:gridCol w:w="3132"/>
        <w:gridCol w:w="3475"/>
      </w:tblGrid>
      <w:tr w:rsidRPr="00734220" w:rsidR="004433B7" w:rsidTr="6305B8F6" w14:paraId="5AC2D6DC" w14:textId="77777777">
        <w:trPr>
          <w:trHeight w:val="540"/>
        </w:trPr>
        <w:tc>
          <w:tcPr>
            <w:tcW w:w="3823" w:type="dxa"/>
            <w:shd w:val="clear" w:color="auto" w:fill="C6D9F1" w:themeFill="text2" w:themeFillTint="33"/>
          </w:tcPr>
          <w:p w:rsidRPr="00734220" w:rsidR="004433B7" w:rsidP="5D1D556F" w:rsidRDefault="7BF5C061" w14:paraId="36A6BB1A" w14:textId="77777777">
            <w:pPr>
              <w:pStyle w:val="TableParagraph"/>
              <w:rPr>
                <w:b/>
                <w:bCs/>
                <w:sz w:val="24"/>
                <w:szCs w:val="24"/>
              </w:rPr>
            </w:pPr>
            <w:r w:rsidRPr="5D1D556F">
              <w:rPr>
                <w:sz w:val="24"/>
                <w:szCs w:val="24"/>
              </w:rPr>
              <w:t>Type of Material</w:t>
            </w:r>
          </w:p>
          <w:p w:rsidRPr="00734220" w:rsidR="004433B7" w:rsidP="5D1D556F" w:rsidRDefault="004433B7" w14:paraId="3564B2A2" w14:textId="77777777">
            <w:pPr>
              <w:pStyle w:val="TableParagraph"/>
              <w:rPr>
                <w:sz w:val="24"/>
                <w:szCs w:val="24"/>
              </w:rPr>
            </w:pPr>
          </w:p>
        </w:tc>
        <w:tc>
          <w:tcPr>
            <w:tcW w:w="3132" w:type="dxa"/>
            <w:shd w:val="clear" w:color="auto" w:fill="C6D9F1" w:themeFill="text2" w:themeFillTint="33"/>
          </w:tcPr>
          <w:p w:rsidRPr="00734220" w:rsidR="004433B7" w:rsidP="5D1D556F" w:rsidRDefault="7BF5C061" w14:paraId="7325B0B0" w14:textId="77777777">
            <w:pPr>
              <w:pStyle w:val="TableParagraph"/>
              <w:rPr>
                <w:b/>
                <w:bCs/>
                <w:sz w:val="24"/>
                <w:szCs w:val="24"/>
              </w:rPr>
            </w:pPr>
            <w:r w:rsidRPr="5D1D556F">
              <w:rPr>
                <w:sz w:val="24"/>
                <w:szCs w:val="24"/>
              </w:rPr>
              <w:t>Minimum Retention Period</w:t>
            </w:r>
          </w:p>
        </w:tc>
        <w:tc>
          <w:tcPr>
            <w:tcW w:w="3475" w:type="dxa"/>
            <w:shd w:val="clear" w:color="auto" w:fill="C6D9F1" w:themeFill="text2" w:themeFillTint="33"/>
          </w:tcPr>
          <w:p w:rsidRPr="00734220" w:rsidR="004433B7" w:rsidP="5D1D556F" w:rsidRDefault="7BF5C061" w14:paraId="07F846DA" w14:textId="77777777">
            <w:pPr>
              <w:pStyle w:val="TableParagraph"/>
              <w:rPr>
                <w:b/>
                <w:bCs/>
                <w:sz w:val="24"/>
                <w:szCs w:val="24"/>
              </w:rPr>
            </w:pPr>
            <w:r w:rsidRPr="5D1D556F">
              <w:rPr>
                <w:sz w:val="24"/>
                <w:szCs w:val="24"/>
              </w:rPr>
              <w:t>Reason</w:t>
            </w:r>
          </w:p>
        </w:tc>
      </w:tr>
      <w:tr w:rsidRPr="00734220" w:rsidR="004433B7" w:rsidTr="6305B8F6" w14:paraId="57A5704A" w14:textId="77777777">
        <w:tc>
          <w:tcPr>
            <w:tcW w:w="3823" w:type="dxa"/>
          </w:tcPr>
          <w:p w:rsidRPr="006B43F5" w:rsidR="004433B7" w:rsidP="5D1D556F" w:rsidRDefault="7BF5C061" w14:paraId="66497FA0" w14:textId="5AC0DBD8">
            <w:pPr>
              <w:pStyle w:val="TableParagraph"/>
              <w:rPr>
                <w:sz w:val="24"/>
                <w:szCs w:val="24"/>
              </w:rPr>
            </w:pPr>
            <w:r w:rsidRPr="5D1D556F">
              <w:rPr>
                <w:sz w:val="24"/>
                <w:szCs w:val="24"/>
              </w:rPr>
              <w:t xml:space="preserve">Health and safety policies, systems, procedures, </w:t>
            </w:r>
            <w:proofErr w:type="gramStart"/>
            <w:r w:rsidRPr="5D1D556F">
              <w:rPr>
                <w:sz w:val="24"/>
                <w:szCs w:val="24"/>
              </w:rPr>
              <w:t>standards</w:t>
            </w:r>
            <w:proofErr w:type="gramEnd"/>
            <w:r w:rsidRPr="5D1D556F">
              <w:rPr>
                <w:sz w:val="24"/>
                <w:szCs w:val="24"/>
              </w:rPr>
              <w:t xml:space="preserve"> and guidance.</w:t>
            </w:r>
          </w:p>
        </w:tc>
        <w:tc>
          <w:tcPr>
            <w:tcW w:w="3132" w:type="dxa"/>
          </w:tcPr>
          <w:p w:rsidRPr="00734220" w:rsidR="004433B7" w:rsidP="5D1D556F" w:rsidRDefault="7BF5C061" w14:paraId="2CB214C9" w14:textId="0C193803">
            <w:pPr>
              <w:pStyle w:val="TableParagraph"/>
              <w:rPr>
                <w:sz w:val="24"/>
                <w:szCs w:val="24"/>
              </w:rPr>
            </w:pPr>
            <w:r w:rsidRPr="6305B8F6">
              <w:rPr>
                <w:sz w:val="24"/>
                <w:szCs w:val="24"/>
              </w:rPr>
              <w:t xml:space="preserve">Life of Group entity, </w:t>
            </w:r>
            <w:r w:rsidRPr="6305B8F6" w:rsidR="63B10FEC">
              <w:rPr>
                <w:sz w:val="24"/>
                <w:szCs w:val="24"/>
              </w:rPr>
              <w:t>as</w:t>
            </w:r>
            <w:r w:rsidRPr="6305B8F6">
              <w:rPr>
                <w:sz w:val="24"/>
                <w:szCs w:val="24"/>
              </w:rPr>
              <w:t xml:space="preserve"> required for evidence of compliance.</w:t>
            </w:r>
          </w:p>
        </w:tc>
        <w:tc>
          <w:tcPr>
            <w:tcW w:w="3475" w:type="dxa"/>
          </w:tcPr>
          <w:p w:rsidRPr="00734220" w:rsidR="004433B7" w:rsidP="5D1D556F" w:rsidRDefault="7BF5C061" w14:paraId="46D43FEE" w14:textId="562AB96E">
            <w:pPr>
              <w:pStyle w:val="TableParagraph"/>
              <w:rPr>
                <w:sz w:val="24"/>
                <w:szCs w:val="24"/>
              </w:rPr>
            </w:pPr>
            <w:r w:rsidRPr="5D1D556F">
              <w:rPr>
                <w:sz w:val="24"/>
                <w:szCs w:val="24"/>
              </w:rPr>
              <w:t>Health and Safety at Work Act 1974 (as amended).</w:t>
            </w:r>
          </w:p>
        </w:tc>
      </w:tr>
      <w:tr w:rsidRPr="00734220" w:rsidR="004433B7" w:rsidTr="6305B8F6" w14:paraId="1E729F58" w14:textId="77777777">
        <w:tc>
          <w:tcPr>
            <w:tcW w:w="3823" w:type="dxa"/>
          </w:tcPr>
          <w:p w:rsidRPr="006B43F5" w:rsidR="004433B7" w:rsidP="5D1D556F" w:rsidRDefault="7BF5C061" w14:paraId="00D1B721" w14:textId="7EE1CE44">
            <w:pPr>
              <w:pStyle w:val="TableParagraph"/>
              <w:rPr>
                <w:sz w:val="24"/>
                <w:szCs w:val="24"/>
              </w:rPr>
            </w:pPr>
            <w:r w:rsidRPr="5D1D556F">
              <w:rPr>
                <w:sz w:val="24"/>
                <w:szCs w:val="24"/>
              </w:rPr>
              <w:t>Health and safety documents and records (including Annual summary, audit reports, incident notifications, investigation</w:t>
            </w:r>
            <w:r w:rsidRPr="5D1D556F" w:rsidR="38506510">
              <w:rPr>
                <w:sz w:val="24"/>
                <w:szCs w:val="24"/>
              </w:rPr>
              <w:t xml:space="preserve"> </w:t>
            </w:r>
            <w:r w:rsidRPr="5D1D556F">
              <w:rPr>
                <w:sz w:val="24"/>
                <w:szCs w:val="24"/>
              </w:rPr>
              <w:t>reports, safety alerts, training records, risk assessments carried out in compliance with law and</w:t>
            </w:r>
            <w:r w:rsidRPr="5D1D556F" w:rsidR="2818496D">
              <w:rPr>
                <w:sz w:val="24"/>
                <w:szCs w:val="24"/>
              </w:rPr>
              <w:t xml:space="preserve"> </w:t>
            </w:r>
            <w:r w:rsidRPr="5D1D556F">
              <w:rPr>
                <w:sz w:val="24"/>
                <w:szCs w:val="24"/>
              </w:rPr>
              <w:t xml:space="preserve">method statements, correspondence with regulators, </w:t>
            </w:r>
            <w:proofErr w:type="gramStart"/>
            <w:r w:rsidRPr="5D1D556F">
              <w:rPr>
                <w:sz w:val="24"/>
                <w:szCs w:val="24"/>
              </w:rPr>
              <w:t>advice</w:t>
            </w:r>
            <w:proofErr w:type="gramEnd"/>
            <w:r w:rsidRPr="5D1D556F">
              <w:rPr>
                <w:sz w:val="24"/>
                <w:szCs w:val="24"/>
              </w:rPr>
              <w:t xml:space="preserve"> and related safety record correspondence).</w:t>
            </w:r>
          </w:p>
        </w:tc>
        <w:tc>
          <w:tcPr>
            <w:tcW w:w="3132" w:type="dxa"/>
          </w:tcPr>
          <w:p w:rsidRPr="006B43F5" w:rsidR="006B43F5" w:rsidP="5D1D556F" w:rsidRDefault="55888202" w14:paraId="3786D807" w14:textId="0767165C">
            <w:pPr>
              <w:pStyle w:val="TableParagraph"/>
              <w:rPr>
                <w:sz w:val="24"/>
                <w:szCs w:val="24"/>
              </w:rPr>
            </w:pPr>
            <w:r w:rsidRPr="5D1D556F">
              <w:rPr>
                <w:sz w:val="24"/>
                <w:szCs w:val="24"/>
              </w:rPr>
              <w:t>Life of Group entity</w:t>
            </w:r>
          </w:p>
          <w:p w:rsidRPr="00734220" w:rsidR="004433B7" w:rsidP="5D1D556F" w:rsidRDefault="004433B7" w14:paraId="086B2437" w14:textId="17B370B9">
            <w:pPr>
              <w:pStyle w:val="TableParagraph"/>
              <w:rPr>
                <w:sz w:val="24"/>
                <w:szCs w:val="24"/>
              </w:rPr>
            </w:pPr>
          </w:p>
        </w:tc>
        <w:tc>
          <w:tcPr>
            <w:tcW w:w="3475" w:type="dxa"/>
          </w:tcPr>
          <w:p w:rsidRPr="00734220" w:rsidR="004433B7" w:rsidP="5D1D556F" w:rsidRDefault="55888202" w14:paraId="11590071" w14:textId="5A0778C1">
            <w:pPr>
              <w:pStyle w:val="TableParagraph"/>
              <w:rPr>
                <w:sz w:val="24"/>
                <w:szCs w:val="24"/>
              </w:rPr>
            </w:pPr>
            <w:r w:rsidRPr="5D1D556F">
              <w:rPr>
                <w:sz w:val="24"/>
                <w:szCs w:val="24"/>
              </w:rPr>
              <w:t xml:space="preserve">Management of Health and Safety at Work Regulations 1999. Evidence of compliance with statutory provisions in </w:t>
            </w:r>
            <w:r w:rsidRPr="5D1D556F" w:rsidR="5A5C688C">
              <w:rPr>
                <w:sz w:val="24"/>
                <w:szCs w:val="24"/>
              </w:rPr>
              <w:t>the UK</w:t>
            </w:r>
            <w:r w:rsidRPr="5D1D556F">
              <w:rPr>
                <w:sz w:val="24"/>
                <w:szCs w:val="24"/>
              </w:rPr>
              <w:t xml:space="preserve"> or overseas legislation where appropriate.</w:t>
            </w:r>
          </w:p>
        </w:tc>
      </w:tr>
      <w:tr w:rsidRPr="00734220" w:rsidR="004433B7" w:rsidTr="6305B8F6" w14:paraId="3DFB8EC5" w14:textId="77777777">
        <w:tc>
          <w:tcPr>
            <w:tcW w:w="3823" w:type="dxa"/>
          </w:tcPr>
          <w:p w:rsidRPr="00734220" w:rsidR="004433B7" w:rsidP="5D1D556F" w:rsidRDefault="55888202" w14:paraId="2E57BC36" w14:textId="5F06F6F8">
            <w:pPr>
              <w:pStyle w:val="TableParagraph"/>
              <w:rPr>
                <w:sz w:val="24"/>
                <w:szCs w:val="24"/>
              </w:rPr>
            </w:pPr>
            <w:r w:rsidRPr="5D1D556F">
              <w:rPr>
                <w:sz w:val="24"/>
                <w:szCs w:val="24"/>
              </w:rPr>
              <w:t xml:space="preserve">Incident, </w:t>
            </w:r>
            <w:proofErr w:type="gramStart"/>
            <w:r w:rsidRPr="5D1D556F">
              <w:rPr>
                <w:sz w:val="24"/>
                <w:szCs w:val="24"/>
              </w:rPr>
              <w:t>disease</w:t>
            </w:r>
            <w:proofErr w:type="gramEnd"/>
            <w:r w:rsidRPr="5D1D556F">
              <w:rPr>
                <w:sz w:val="24"/>
                <w:szCs w:val="24"/>
              </w:rPr>
              <w:t xml:space="preserve"> and dangerous occurrence books (such as ‘accident books’) and records including electronic records for reported accidents and incidents.</w:t>
            </w:r>
          </w:p>
        </w:tc>
        <w:tc>
          <w:tcPr>
            <w:tcW w:w="3132" w:type="dxa"/>
          </w:tcPr>
          <w:p w:rsidRPr="00734220" w:rsidR="004433B7" w:rsidP="5D1D556F" w:rsidRDefault="55888202" w14:paraId="76DC3F84" w14:textId="0B3B2194">
            <w:pPr>
              <w:pStyle w:val="TableParagraph"/>
              <w:rPr>
                <w:sz w:val="24"/>
                <w:szCs w:val="24"/>
              </w:rPr>
            </w:pPr>
            <w:r w:rsidRPr="5D1D556F">
              <w:rPr>
                <w:sz w:val="24"/>
                <w:szCs w:val="24"/>
              </w:rPr>
              <w:t>Minimum of 3 years from date of last entry or 7 years from reporting. Or, if accident involves a child / young adult, then until that person reaches 21.</w:t>
            </w:r>
          </w:p>
        </w:tc>
        <w:tc>
          <w:tcPr>
            <w:tcW w:w="3475" w:type="dxa"/>
          </w:tcPr>
          <w:p w:rsidRPr="00734220" w:rsidR="004433B7" w:rsidP="5D1D556F" w:rsidRDefault="55888202" w14:paraId="7A7D8F9E" w14:textId="08E3814A">
            <w:pPr>
              <w:pStyle w:val="TableParagraph"/>
              <w:rPr>
                <w:sz w:val="24"/>
                <w:szCs w:val="24"/>
              </w:rPr>
            </w:pPr>
            <w:r w:rsidRPr="5D1D556F">
              <w:rPr>
                <w:sz w:val="24"/>
                <w:szCs w:val="24"/>
              </w:rPr>
              <w:t>Evidence of compliance with UK Reporting of Injuries, Diseases and Dangerous Occurrences Regulations 2013 or local or overseas legislation where appropriate.</w:t>
            </w:r>
          </w:p>
        </w:tc>
      </w:tr>
      <w:tr w:rsidRPr="00734220" w:rsidR="009800BF" w:rsidTr="6305B8F6" w14:paraId="4A0607FD" w14:textId="77777777">
        <w:tc>
          <w:tcPr>
            <w:tcW w:w="3823" w:type="dxa"/>
          </w:tcPr>
          <w:p w:rsidRPr="006B43F5" w:rsidR="009800BF" w:rsidP="5D1D556F" w:rsidRDefault="39338C0C" w14:paraId="532A94C4" w14:textId="437E2943">
            <w:pPr>
              <w:pStyle w:val="TableParagraph"/>
              <w:rPr>
                <w:sz w:val="24"/>
                <w:szCs w:val="24"/>
              </w:rPr>
            </w:pPr>
            <w:r w:rsidRPr="5D1D556F">
              <w:rPr>
                <w:sz w:val="24"/>
                <w:szCs w:val="24"/>
              </w:rPr>
              <w:t>Data re emergency medical care, individual reintegration plans, workplace adjustments, individual treatment agreements, fitness for work</w:t>
            </w:r>
          </w:p>
        </w:tc>
        <w:tc>
          <w:tcPr>
            <w:tcW w:w="3132" w:type="dxa"/>
          </w:tcPr>
          <w:p w:rsidRPr="006B43F5" w:rsidR="009800BF" w:rsidP="5D1D556F" w:rsidRDefault="39338C0C" w14:paraId="239A1146" w14:textId="55252649">
            <w:pPr>
              <w:pStyle w:val="TableParagraph"/>
              <w:rPr>
                <w:sz w:val="24"/>
                <w:szCs w:val="24"/>
              </w:rPr>
            </w:pPr>
            <w:r w:rsidRPr="5D1D556F">
              <w:rPr>
                <w:sz w:val="24"/>
                <w:szCs w:val="24"/>
              </w:rPr>
              <w:t>Maximum of 6 years after expiry of employment.</w:t>
            </w:r>
          </w:p>
        </w:tc>
        <w:tc>
          <w:tcPr>
            <w:tcW w:w="3475" w:type="dxa"/>
          </w:tcPr>
          <w:p w:rsidRPr="006B43F5" w:rsidR="009800BF" w:rsidP="5D1D556F" w:rsidRDefault="39338C0C" w14:paraId="68957DBF" w14:textId="7218BD9E">
            <w:pPr>
              <w:pStyle w:val="TableParagraph"/>
              <w:rPr>
                <w:sz w:val="24"/>
                <w:szCs w:val="24"/>
              </w:rPr>
            </w:pPr>
            <w:r w:rsidRPr="5D1D556F">
              <w:rPr>
                <w:sz w:val="24"/>
                <w:szCs w:val="24"/>
              </w:rPr>
              <w:t>Limitation Act 1980, Data Protection Act 2018 and GDPR</w:t>
            </w:r>
          </w:p>
        </w:tc>
      </w:tr>
      <w:tr w:rsidRPr="00734220" w:rsidR="009800BF" w:rsidTr="6305B8F6" w14:paraId="4DB6A7F8" w14:textId="77777777">
        <w:tc>
          <w:tcPr>
            <w:tcW w:w="3823" w:type="dxa"/>
          </w:tcPr>
          <w:p w:rsidRPr="006B43F5" w:rsidR="009800BF" w:rsidP="5D1D556F" w:rsidRDefault="39338C0C" w14:paraId="4B749CB1" w14:textId="15FF545E">
            <w:pPr>
              <w:pStyle w:val="TableParagraph"/>
              <w:rPr>
                <w:sz w:val="24"/>
                <w:szCs w:val="24"/>
              </w:rPr>
            </w:pPr>
            <w:r w:rsidRPr="5D1D556F">
              <w:rPr>
                <w:sz w:val="24"/>
                <w:szCs w:val="24"/>
              </w:rPr>
              <w:t>Records and minutes of consultations with safety representatives and committees</w:t>
            </w:r>
          </w:p>
        </w:tc>
        <w:tc>
          <w:tcPr>
            <w:tcW w:w="3132" w:type="dxa"/>
          </w:tcPr>
          <w:p w:rsidRPr="006B43F5" w:rsidR="009800BF" w:rsidP="5D1D556F" w:rsidRDefault="39338C0C" w14:paraId="53AC0E50" w14:textId="2BF9354C">
            <w:pPr>
              <w:pStyle w:val="TableParagraph"/>
              <w:rPr>
                <w:sz w:val="24"/>
                <w:szCs w:val="24"/>
              </w:rPr>
            </w:pPr>
            <w:r w:rsidRPr="5D1D556F">
              <w:rPr>
                <w:sz w:val="24"/>
                <w:szCs w:val="24"/>
              </w:rPr>
              <w:t>Minimum of 10 years</w:t>
            </w:r>
          </w:p>
        </w:tc>
        <w:tc>
          <w:tcPr>
            <w:tcW w:w="3475" w:type="dxa"/>
          </w:tcPr>
          <w:p w:rsidRPr="006B43F5" w:rsidR="009800BF" w:rsidP="5D1D556F" w:rsidRDefault="39338C0C" w14:paraId="0AADEF01" w14:textId="70EDCD9F">
            <w:pPr>
              <w:pStyle w:val="TableParagraph"/>
              <w:rPr>
                <w:sz w:val="24"/>
                <w:szCs w:val="24"/>
              </w:rPr>
            </w:pPr>
            <w:r w:rsidRPr="5D1D556F">
              <w:rPr>
                <w:sz w:val="24"/>
                <w:szCs w:val="24"/>
              </w:rPr>
              <w:t>Evidence of compliance with Safety Representative and Safety Committees Regulations 1977 and Safety (Consultation with Employees) Regulations 1996.</w:t>
            </w:r>
          </w:p>
        </w:tc>
      </w:tr>
      <w:tr w:rsidRPr="00734220" w:rsidR="004433B7" w:rsidTr="6305B8F6" w14:paraId="226478CF" w14:textId="77777777">
        <w:tc>
          <w:tcPr>
            <w:tcW w:w="3823" w:type="dxa"/>
          </w:tcPr>
          <w:p w:rsidRPr="00734220" w:rsidR="004433B7" w:rsidP="5D1D556F" w:rsidRDefault="55888202" w14:paraId="76A0E478" w14:textId="74FF38CD">
            <w:pPr>
              <w:pStyle w:val="TableParagraph"/>
              <w:rPr>
                <w:sz w:val="24"/>
                <w:szCs w:val="24"/>
              </w:rPr>
            </w:pPr>
            <w:r w:rsidRPr="5D1D556F">
              <w:rPr>
                <w:sz w:val="24"/>
                <w:szCs w:val="24"/>
              </w:rPr>
              <w:t>Environmental records and assessments (including electronic records and database entries)</w:t>
            </w:r>
          </w:p>
        </w:tc>
        <w:tc>
          <w:tcPr>
            <w:tcW w:w="3132" w:type="dxa"/>
          </w:tcPr>
          <w:p w:rsidRPr="00734220" w:rsidR="004433B7" w:rsidP="5D1D556F" w:rsidRDefault="55888202" w14:paraId="1569C5AF" w14:textId="60359B06">
            <w:pPr>
              <w:pStyle w:val="TableParagraph"/>
              <w:rPr>
                <w:sz w:val="24"/>
                <w:szCs w:val="24"/>
              </w:rPr>
            </w:pPr>
            <w:r w:rsidRPr="5D1D556F">
              <w:rPr>
                <w:sz w:val="24"/>
                <w:szCs w:val="24"/>
              </w:rPr>
              <w:t>Life of Group entity</w:t>
            </w:r>
          </w:p>
        </w:tc>
        <w:tc>
          <w:tcPr>
            <w:tcW w:w="3475" w:type="dxa"/>
          </w:tcPr>
          <w:p w:rsidRPr="00734220" w:rsidR="004433B7" w:rsidP="5D1D556F" w:rsidRDefault="55888202" w14:paraId="15D1883E" w14:textId="76D0847A">
            <w:pPr>
              <w:pStyle w:val="TableParagraph"/>
              <w:rPr>
                <w:sz w:val="24"/>
                <w:szCs w:val="24"/>
              </w:rPr>
            </w:pPr>
            <w:r w:rsidRPr="5D1D556F">
              <w:rPr>
                <w:sz w:val="24"/>
                <w:szCs w:val="24"/>
              </w:rPr>
              <w:t>Evidence of compliance with statutory provisions in UK or overseas legislation where appropriate.</w:t>
            </w:r>
          </w:p>
        </w:tc>
      </w:tr>
      <w:tr w:rsidRPr="00734220" w:rsidR="006B43F5" w:rsidTr="6305B8F6" w14:paraId="1E5439AF" w14:textId="77777777">
        <w:trPr>
          <w:trHeight w:val="300"/>
        </w:trPr>
        <w:tc>
          <w:tcPr>
            <w:tcW w:w="3823" w:type="dxa"/>
          </w:tcPr>
          <w:p w:rsidRPr="006B43F5" w:rsidR="006B43F5" w:rsidP="6305B8F6" w:rsidRDefault="6CA57F1E" w14:paraId="2DD6D56B" w14:textId="1873C059">
            <w:pPr>
              <w:pStyle w:val="TableParagraph"/>
              <w:rPr>
                <w:rFonts w:asciiTheme="minorHAnsi" w:hAnsiTheme="minorHAnsi" w:cstheme="minorBidi"/>
                <w:sz w:val="24"/>
                <w:szCs w:val="24"/>
              </w:rPr>
            </w:pPr>
            <w:r w:rsidRPr="6305B8F6">
              <w:rPr>
                <w:sz w:val="24"/>
                <w:szCs w:val="24"/>
              </w:rPr>
              <w:t xml:space="preserve">Environmental data regarding </w:t>
            </w:r>
          </w:p>
          <w:p w:rsidRPr="006B43F5" w:rsidR="006B43F5" w:rsidP="6305B8F6" w:rsidRDefault="55888202" w14:paraId="3F79FC86" w14:textId="2E481E5B">
            <w:pPr>
              <w:pStyle w:val="TableParagraph"/>
              <w:rPr>
                <w:rFonts w:asciiTheme="minorHAnsi" w:hAnsiTheme="minorHAnsi" w:cstheme="minorBidi"/>
                <w:sz w:val="24"/>
                <w:szCs w:val="24"/>
              </w:rPr>
            </w:pPr>
            <w:r w:rsidRPr="6305B8F6">
              <w:rPr>
                <w:sz w:val="24"/>
                <w:szCs w:val="24"/>
              </w:rPr>
              <w:t>dangerous chemicals, substances, or measures regarding these for manufacturing/import or distribution of products</w:t>
            </w:r>
          </w:p>
        </w:tc>
        <w:tc>
          <w:tcPr>
            <w:tcW w:w="3132" w:type="dxa"/>
          </w:tcPr>
          <w:p w:rsidRPr="006B43F5" w:rsidR="006B43F5" w:rsidP="5D1D556F" w:rsidRDefault="55888202" w14:paraId="2313D762" w14:textId="77777777">
            <w:pPr>
              <w:pStyle w:val="TableParagraph"/>
              <w:rPr>
                <w:rFonts w:cstheme="minorBidi"/>
                <w:sz w:val="24"/>
                <w:szCs w:val="24"/>
              </w:rPr>
            </w:pPr>
            <w:r w:rsidRPr="5D1D556F">
              <w:rPr>
                <w:sz w:val="24"/>
                <w:szCs w:val="24"/>
              </w:rPr>
              <w:t>Minimum 10 years.</w:t>
            </w:r>
          </w:p>
          <w:p w:rsidRPr="006B43F5" w:rsidR="006B43F5" w:rsidP="6305B8F6" w:rsidRDefault="006B43F5" w14:paraId="1F25E9E1" w14:textId="53F388B7">
            <w:pPr>
              <w:pStyle w:val="TableParagraph"/>
              <w:rPr>
                <w:sz w:val="24"/>
                <w:szCs w:val="24"/>
              </w:rPr>
            </w:pPr>
          </w:p>
          <w:p w:rsidRPr="006B43F5" w:rsidR="006B43F5" w:rsidP="6305B8F6" w:rsidRDefault="006B43F5" w14:paraId="08896C3F" w14:textId="59C3745A">
            <w:pPr>
              <w:pStyle w:val="TableParagraph"/>
              <w:rPr>
                <w:sz w:val="24"/>
                <w:szCs w:val="24"/>
              </w:rPr>
            </w:pPr>
          </w:p>
          <w:p w:rsidRPr="006B43F5" w:rsidR="006B43F5" w:rsidP="6305B8F6" w:rsidRDefault="006B43F5" w14:paraId="45D96504" w14:textId="5C65F4BA">
            <w:pPr>
              <w:pStyle w:val="TableParagraph"/>
              <w:rPr>
                <w:sz w:val="24"/>
                <w:szCs w:val="24"/>
              </w:rPr>
            </w:pPr>
          </w:p>
        </w:tc>
        <w:tc>
          <w:tcPr>
            <w:tcW w:w="3475" w:type="dxa"/>
          </w:tcPr>
          <w:p w:rsidRPr="006B43F5" w:rsidR="006B43F5" w:rsidP="6305B8F6" w:rsidRDefault="55888202" w14:paraId="4005171B" w14:textId="0314CEE3">
            <w:pPr>
              <w:pStyle w:val="TableParagraph"/>
              <w:rPr>
                <w:rFonts w:cstheme="minorBidi"/>
                <w:sz w:val="24"/>
                <w:szCs w:val="24"/>
              </w:rPr>
            </w:pPr>
            <w:r w:rsidRPr="6305B8F6">
              <w:rPr>
                <w:sz w:val="24"/>
                <w:szCs w:val="24"/>
              </w:rPr>
              <w:t xml:space="preserve">Article 49 Regulation </w:t>
            </w:r>
            <w:r w:rsidRPr="6305B8F6" w:rsidR="33C43B56">
              <w:rPr>
                <w:sz w:val="24"/>
                <w:szCs w:val="24"/>
              </w:rPr>
              <w:t xml:space="preserve">  </w:t>
            </w:r>
            <w:r w:rsidRPr="6305B8F6">
              <w:rPr>
                <w:sz w:val="24"/>
                <w:szCs w:val="24"/>
              </w:rPr>
              <w:t>1272/2008/EC Article 36 of the Regulation 1907/2006/EC (REACH).</w:t>
            </w:r>
          </w:p>
        </w:tc>
      </w:tr>
      <w:tr w:rsidRPr="00734220" w:rsidR="006B43F5" w:rsidTr="6305B8F6" w14:paraId="5871A2E7" w14:textId="77777777">
        <w:tc>
          <w:tcPr>
            <w:tcW w:w="3823" w:type="dxa"/>
          </w:tcPr>
          <w:p w:rsidRPr="006B43F5" w:rsidR="006B43F5" w:rsidP="5D1D556F" w:rsidRDefault="55888202" w14:paraId="20359E02" w14:textId="2442D266">
            <w:pPr>
              <w:pStyle w:val="TableParagraph"/>
              <w:rPr>
                <w:rFonts w:cstheme="minorBidi"/>
                <w:sz w:val="24"/>
                <w:szCs w:val="24"/>
              </w:rPr>
            </w:pPr>
            <w:r w:rsidRPr="5D1D556F">
              <w:rPr>
                <w:sz w:val="24"/>
                <w:szCs w:val="24"/>
              </w:rPr>
              <w:lastRenderedPageBreak/>
              <w:t>Names and addresses of customers/buyers of environmentally dangerous substances or measures</w:t>
            </w:r>
          </w:p>
        </w:tc>
        <w:tc>
          <w:tcPr>
            <w:tcW w:w="3132" w:type="dxa"/>
          </w:tcPr>
          <w:p w:rsidRPr="006B43F5" w:rsidR="006B43F5" w:rsidP="5D1D556F" w:rsidRDefault="55888202" w14:paraId="43FB6561" w14:textId="43F3B2B8">
            <w:pPr>
              <w:pStyle w:val="TableParagraph"/>
              <w:rPr>
                <w:rFonts w:cstheme="minorBidi"/>
                <w:sz w:val="24"/>
                <w:szCs w:val="24"/>
              </w:rPr>
            </w:pPr>
            <w:r w:rsidRPr="5D1D556F">
              <w:rPr>
                <w:sz w:val="24"/>
                <w:szCs w:val="24"/>
              </w:rPr>
              <w:t>Minimum 10 years.</w:t>
            </w:r>
          </w:p>
        </w:tc>
        <w:tc>
          <w:tcPr>
            <w:tcW w:w="3475" w:type="dxa"/>
          </w:tcPr>
          <w:p w:rsidRPr="006B43F5" w:rsidR="006B43F5" w:rsidP="5D1D556F" w:rsidRDefault="55888202" w14:paraId="1E6D0BFD" w14:textId="2340974E">
            <w:pPr>
              <w:pStyle w:val="TableParagraph"/>
              <w:rPr>
                <w:rFonts w:cstheme="minorBidi"/>
                <w:sz w:val="24"/>
                <w:szCs w:val="24"/>
              </w:rPr>
            </w:pPr>
            <w:r w:rsidRPr="5D1D556F">
              <w:rPr>
                <w:sz w:val="24"/>
                <w:szCs w:val="24"/>
              </w:rPr>
              <w:t>Article 49 Regulation No 1272/2008/EC on classification, labelling and packaging of substances and mixtures.</w:t>
            </w:r>
          </w:p>
        </w:tc>
      </w:tr>
      <w:tr w:rsidRPr="00734220" w:rsidR="006B43F5" w:rsidTr="6305B8F6" w14:paraId="518A01A0" w14:textId="77777777">
        <w:tc>
          <w:tcPr>
            <w:tcW w:w="3823" w:type="dxa"/>
          </w:tcPr>
          <w:p w:rsidRPr="006B43F5" w:rsidR="006B43F5" w:rsidP="5D1D556F" w:rsidRDefault="55888202" w14:paraId="1A836863" w14:textId="30354C8B">
            <w:pPr>
              <w:pStyle w:val="TableParagraph"/>
              <w:rPr>
                <w:rFonts w:cstheme="minorBidi"/>
                <w:sz w:val="24"/>
                <w:szCs w:val="24"/>
              </w:rPr>
            </w:pPr>
            <w:r w:rsidRPr="5D1D556F">
              <w:rPr>
                <w:sz w:val="24"/>
                <w:szCs w:val="24"/>
              </w:rPr>
              <w:t>Environmental permit documentation</w:t>
            </w:r>
          </w:p>
        </w:tc>
        <w:tc>
          <w:tcPr>
            <w:tcW w:w="3132" w:type="dxa"/>
          </w:tcPr>
          <w:p w:rsidRPr="006B43F5" w:rsidR="006B43F5" w:rsidP="5D1D556F" w:rsidRDefault="55888202" w14:paraId="3E486A18" w14:textId="4D351DDF">
            <w:pPr>
              <w:pStyle w:val="TableParagraph"/>
              <w:rPr>
                <w:rFonts w:cstheme="minorBidi"/>
                <w:sz w:val="24"/>
                <w:szCs w:val="24"/>
              </w:rPr>
            </w:pPr>
            <w:r w:rsidRPr="5D1D556F">
              <w:rPr>
                <w:sz w:val="24"/>
                <w:szCs w:val="24"/>
              </w:rPr>
              <w:t xml:space="preserve">Specific periods will apply and vary, depending on the nature of the permit. In general, you should keep permits for as long as they remain valid, and thereafter as necessary for evidence purposes in any potential regulatory or third-party claim, </w:t>
            </w:r>
            <w:proofErr w:type="gramStart"/>
            <w:r w:rsidRPr="5D1D556F">
              <w:rPr>
                <w:sz w:val="24"/>
                <w:szCs w:val="24"/>
              </w:rPr>
              <w:t>litigation</w:t>
            </w:r>
            <w:proofErr w:type="gramEnd"/>
            <w:r w:rsidRPr="5D1D556F">
              <w:rPr>
                <w:sz w:val="24"/>
                <w:szCs w:val="24"/>
              </w:rPr>
              <w:t xml:space="preserve"> or liability.</w:t>
            </w:r>
          </w:p>
        </w:tc>
        <w:tc>
          <w:tcPr>
            <w:tcW w:w="3475" w:type="dxa"/>
          </w:tcPr>
          <w:p w:rsidRPr="006B43F5" w:rsidR="006B43F5" w:rsidP="5D1D556F" w:rsidRDefault="00EA77C2" w14:paraId="7B1AE32C" w14:textId="3EE6F0C0">
            <w:pPr>
              <w:pStyle w:val="TableParagraph"/>
              <w:rPr>
                <w:sz w:val="24"/>
                <w:szCs w:val="24"/>
              </w:rPr>
            </w:pPr>
            <w:r w:rsidRPr="098D6404">
              <w:rPr>
                <w:rFonts w:asciiTheme="minorHAnsi" w:hAnsiTheme="minorHAnsi" w:eastAsiaTheme="minorEastAsia" w:cstheme="minorBidi"/>
                <w:color w:val="000000" w:themeColor="text1"/>
                <w:sz w:val="24"/>
                <w:szCs w:val="24"/>
              </w:rPr>
              <w:t>Company Policy</w:t>
            </w:r>
          </w:p>
        </w:tc>
      </w:tr>
      <w:tr w:rsidRPr="00734220" w:rsidR="006B43F5" w:rsidTr="6305B8F6" w14:paraId="13075F81" w14:textId="77777777">
        <w:tc>
          <w:tcPr>
            <w:tcW w:w="3823" w:type="dxa"/>
          </w:tcPr>
          <w:p w:rsidRPr="006B43F5" w:rsidR="006B43F5" w:rsidP="5D1D556F" w:rsidRDefault="55888202" w14:paraId="366D2DAB" w14:textId="5AD3D817">
            <w:pPr>
              <w:pStyle w:val="TableParagraph"/>
              <w:rPr>
                <w:rFonts w:cstheme="minorBidi"/>
                <w:sz w:val="24"/>
                <w:szCs w:val="24"/>
              </w:rPr>
            </w:pPr>
            <w:r w:rsidRPr="5D1D556F">
              <w:rPr>
                <w:sz w:val="24"/>
                <w:szCs w:val="24"/>
              </w:rPr>
              <w:t>Fire risk assessment</w:t>
            </w:r>
          </w:p>
        </w:tc>
        <w:tc>
          <w:tcPr>
            <w:tcW w:w="3132" w:type="dxa"/>
          </w:tcPr>
          <w:p w:rsidRPr="006B43F5" w:rsidR="006B43F5" w:rsidP="5D1D556F" w:rsidRDefault="55888202" w14:paraId="157DCB18" w14:textId="3204A67C">
            <w:pPr>
              <w:pStyle w:val="TableParagraph"/>
              <w:rPr>
                <w:rFonts w:cstheme="minorBidi"/>
                <w:sz w:val="24"/>
                <w:szCs w:val="24"/>
              </w:rPr>
            </w:pPr>
            <w:r w:rsidRPr="5D1D556F">
              <w:rPr>
                <w:sz w:val="24"/>
                <w:szCs w:val="24"/>
              </w:rPr>
              <w:t>Date of last fire risk assessment plus 5 years</w:t>
            </w:r>
          </w:p>
        </w:tc>
        <w:tc>
          <w:tcPr>
            <w:tcW w:w="3475" w:type="dxa"/>
          </w:tcPr>
          <w:p w:rsidRPr="006B43F5" w:rsidR="006B43F5" w:rsidP="5D1D556F" w:rsidRDefault="55888202" w14:paraId="15E5269F" w14:textId="7AFD3138">
            <w:pPr>
              <w:pStyle w:val="TableParagraph"/>
              <w:rPr>
                <w:rFonts w:cstheme="minorBidi"/>
                <w:sz w:val="24"/>
                <w:szCs w:val="24"/>
              </w:rPr>
            </w:pPr>
            <w:r w:rsidRPr="5D1D556F">
              <w:rPr>
                <w:sz w:val="24"/>
                <w:szCs w:val="24"/>
              </w:rPr>
              <w:t>Evidence of compliance with the Regulatory Reform (Fire Safety) Order 2005.</w:t>
            </w:r>
          </w:p>
        </w:tc>
      </w:tr>
      <w:tr w:rsidRPr="00734220" w:rsidR="006B43F5" w:rsidTr="6305B8F6" w14:paraId="26CFB221" w14:textId="77777777">
        <w:tc>
          <w:tcPr>
            <w:tcW w:w="3823" w:type="dxa"/>
          </w:tcPr>
          <w:p w:rsidRPr="009800BF" w:rsidR="009800BF" w:rsidP="5D1D556F" w:rsidRDefault="39338C0C" w14:paraId="29A62730" w14:textId="0D7F4C5A">
            <w:pPr>
              <w:pStyle w:val="TableParagraph"/>
              <w:rPr>
                <w:rFonts w:cstheme="minorBidi"/>
                <w:sz w:val="24"/>
                <w:szCs w:val="24"/>
              </w:rPr>
            </w:pPr>
            <w:r w:rsidRPr="5D1D556F">
              <w:rPr>
                <w:sz w:val="24"/>
                <w:szCs w:val="24"/>
              </w:rPr>
              <w:t>Medical examinations at work related to hazardous substances (ensuring maintenance of employee health</w:t>
            </w:r>
          </w:p>
          <w:p w:rsidRPr="006B43F5" w:rsidR="006B43F5" w:rsidP="5D1D556F" w:rsidRDefault="39338C0C" w14:paraId="1CE7A51E" w14:textId="663A2ACF">
            <w:pPr>
              <w:pStyle w:val="TableParagraph"/>
              <w:rPr>
                <w:rFonts w:cstheme="minorBidi"/>
                <w:sz w:val="24"/>
                <w:szCs w:val="24"/>
              </w:rPr>
            </w:pPr>
            <w:r w:rsidRPr="5D1D556F">
              <w:rPr>
                <w:sz w:val="24"/>
                <w:szCs w:val="24"/>
              </w:rPr>
              <w:t>record)</w:t>
            </w:r>
          </w:p>
        </w:tc>
        <w:tc>
          <w:tcPr>
            <w:tcW w:w="3132" w:type="dxa"/>
          </w:tcPr>
          <w:p w:rsidRPr="006B43F5" w:rsidR="006B43F5" w:rsidP="5D1D556F" w:rsidRDefault="39338C0C" w14:paraId="7DB62DC9" w14:textId="050B379B">
            <w:pPr>
              <w:pStyle w:val="TableParagraph"/>
              <w:rPr>
                <w:rFonts w:cstheme="minorBidi"/>
                <w:sz w:val="24"/>
                <w:szCs w:val="24"/>
              </w:rPr>
            </w:pPr>
            <w:r w:rsidRPr="5D1D556F">
              <w:rPr>
                <w:sz w:val="24"/>
                <w:szCs w:val="24"/>
              </w:rPr>
              <w:t>Minimum of 40 years from date of last entry made for UK where record representative of personal exposures of identifiable employees or in any other cases, at least 5 years, from last entry made.</w:t>
            </w:r>
          </w:p>
        </w:tc>
        <w:tc>
          <w:tcPr>
            <w:tcW w:w="3475" w:type="dxa"/>
          </w:tcPr>
          <w:p w:rsidRPr="006B43F5" w:rsidR="006B43F5" w:rsidP="5D1D556F" w:rsidRDefault="39338C0C" w14:paraId="51077992" w14:textId="0EB7D420">
            <w:pPr>
              <w:pStyle w:val="TableParagraph"/>
              <w:rPr>
                <w:rFonts w:cstheme="minorBidi"/>
                <w:sz w:val="24"/>
                <w:szCs w:val="24"/>
              </w:rPr>
            </w:pPr>
            <w:r w:rsidRPr="5D1D556F">
              <w:rPr>
                <w:sz w:val="24"/>
                <w:szCs w:val="24"/>
              </w:rPr>
              <w:t>Regulation 10(5), Control of Substances Hazardous to Health Regulations 2002, SI 2002/2677.</w:t>
            </w:r>
          </w:p>
        </w:tc>
      </w:tr>
      <w:tr w:rsidRPr="00734220" w:rsidR="006B43F5" w:rsidTr="6305B8F6" w14:paraId="2AABE52D" w14:textId="77777777">
        <w:tc>
          <w:tcPr>
            <w:tcW w:w="3823" w:type="dxa"/>
          </w:tcPr>
          <w:p w:rsidRPr="006B43F5" w:rsidR="006B43F5" w:rsidP="5D1D556F" w:rsidRDefault="39338C0C" w14:paraId="7FB9A290" w14:textId="7BAE8E28">
            <w:pPr>
              <w:pStyle w:val="TableParagraph"/>
              <w:rPr>
                <w:rFonts w:cstheme="minorBidi"/>
                <w:sz w:val="24"/>
                <w:szCs w:val="24"/>
              </w:rPr>
            </w:pPr>
            <w:r w:rsidRPr="5D1D556F">
              <w:rPr>
                <w:sz w:val="24"/>
                <w:szCs w:val="24"/>
              </w:rPr>
              <w:t>Records of tests and examinations of control systems and protective equipment concerning exposure to other substances hazardous to health</w:t>
            </w:r>
          </w:p>
        </w:tc>
        <w:tc>
          <w:tcPr>
            <w:tcW w:w="3132" w:type="dxa"/>
          </w:tcPr>
          <w:p w:rsidRPr="006B43F5" w:rsidR="006B43F5" w:rsidP="5D1D556F" w:rsidRDefault="39338C0C" w14:paraId="0F9E7D0E" w14:textId="135F8F01">
            <w:pPr>
              <w:pStyle w:val="TableParagraph"/>
              <w:rPr>
                <w:rFonts w:cstheme="minorBidi"/>
                <w:sz w:val="24"/>
                <w:szCs w:val="24"/>
              </w:rPr>
            </w:pPr>
            <w:r w:rsidRPr="5D1D556F">
              <w:rPr>
                <w:sz w:val="24"/>
                <w:szCs w:val="24"/>
              </w:rPr>
              <w:t>Date tests were carried out plus 5 years.</w:t>
            </w:r>
          </w:p>
        </w:tc>
        <w:tc>
          <w:tcPr>
            <w:tcW w:w="3475" w:type="dxa"/>
          </w:tcPr>
          <w:p w:rsidRPr="006B43F5" w:rsidR="006B43F5" w:rsidP="5D1D556F" w:rsidRDefault="39338C0C" w14:paraId="4E30369C" w14:textId="36426F08">
            <w:pPr>
              <w:pStyle w:val="TableParagraph"/>
              <w:rPr>
                <w:rFonts w:cstheme="minorBidi"/>
                <w:sz w:val="24"/>
                <w:szCs w:val="24"/>
              </w:rPr>
            </w:pPr>
            <w:r w:rsidRPr="5D1D556F">
              <w:rPr>
                <w:sz w:val="24"/>
                <w:szCs w:val="24"/>
              </w:rPr>
              <w:t>The Control of Substances Hazardous to Health Regulations 1999 and 2002 (COSHH).</w:t>
            </w:r>
          </w:p>
        </w:tc>
      </w:tr>
      <w:tr w:rsidRPr="00734220" w:rsidR="006B43F5" w:rsidTr="6305B8F6" w14:paraId="14CAF403" w14:textId="77777777">
        <w:tc>
          <w:tcPr>
            <w:tcW w:w="3823" w:type="dxa"/>
          </w:tcPr>
          <w:p w:rsidRPr="006B43F5" w:rsidR="006B43F5" w:rsidP="5D1D556F" w:rsidRDefault="39338C0C" w14:paraId="1F83B568" w14:textId="031EE89E">
            <w:pPr>
              <w:pStyle w:val="TableParagraph"/>
              <w:rPr>
                <w:rFonts w:cstheme="minorBidi"/>
                <w:sz w:val="24"/>
                <w:szCs w:val="24"/>
              </w:rPr>
            </w:pPr>
            <w:r w:rsidRPr="5D1D556F">
              <w:rPr>
                <w:sz w:val="24"/>
                <w:szCs w:val="24"/>
              </w:rPr>
              <w:t>Register of employees who work in dangerous conditions or whose health is otherwise at threat regarding exposure to substances hazardous to health</w:t>
            </w:r>
          </w:p>
        </w:tc>
        <w:tc>
          <w:tcPr>
            <w:tcW w:w="3132" w:type="dxa"/>
          </w:tcPr>
          <w:p w:rsidRPr="006B43F5" w:rsidR="006B43F5" w:rsidP="5D1D556F" w:rsidRDefault="39338C0C" w14:paraId="1AD32A41" w14:textId="7405E7DE">
            <w:pPr>
              <w:pStyle w:val="TableParagraph"/>
              <w:rPr>
                <w:rFonts w:cstheme="minorBidi"/>
                <w:sz w:val="24"/>
                <w:szCs w:val="24"/>
              </w:rPr>
            </w:pPr>
            <w:r w:rsidRPr="5D1D556F">
              <w:rPr>
                <w:sz w:val="24"/>
                <w:szCs w:val="24"/>
              </w:rPr>
              <w:t>Minimum 5 years. However, where the record is not representative of personal exposures of identifiable employees, 40 years from the date of last register entry.</w:t>
            </w:r>
          </w:p>
        </w:tc>
        <w:tc>
          <w:tcPr>
            <w:tcW w:w="3475" w:type="dxa"/>
          </w:tcPr>
          <w:p w:rsidRPr="006B43F5" w:rsidR="006B43F5" w:rsidP="5D1D556F" w:rsidRDefault="39338C0C" w14:paraId="3208C06D" w14:textId="1847D85D">
            <w:pPr>
              <w:pStyle w:val="TableParagraph"/>
              <w:rPr>
                <w:rFonts w:cstheme="minorBidi"/>
                <w:sz w:val="24"/>
                <w:szCs w:val="24"/>
              </w:rPr>
            </w:pPr>
            <w:r w:rsidRPr="5D1D556F">
              <w:rPr>
                <w:sz w:val="24"/>
                <w:szCs w:val="24"/>
              </w:rPr>
              <w:t>Regulation 10(5), Control of Substances Hazardous to Health Regulations 2002, SI 2002/2677.</w:t>
            </w:r>
          </w:p>
        </w:tc>
      </w:tr>
      <w:tr w:rsidRPr="00734220" w:rsidR="006B43F5" w:rsidTr="6305B8F6" w14:paraId="7AAB2AA4" w14:textId="77777777">
        <w:tc>
          <w:tcPr>
            <w:tcW w:w="3823" w:type="dxa"/>
          </w:tcPr>
          <w:p w:rsidRPr="006B43F5" w:rsidR="006B43F5" w:rsidP="5D1D556F" w:rsidRDefault="39338C0C" w14:paraId="48FFC578" w14:textId="35BC8860">
            <w:pPr>
              <w:pStyle w:val="TableParagraph"/>
              <w:rPr>
                <w:rFonts w:cstheme="minorBidi"/>
                <w:sz w:val="24"/>
                <w:szCs w:val="24"/>
              </w:rPr>
            </w:pPr>
            <w:r w:rsidRPr="5D1D556F">
              <w:rPr>
                <w:sz w:val="24"/>
                <w:szCs w:val="24"/>
              </w:rPr>
              <w:t xml:space="preserve">Register of employees who work with 3rd </w:t>
            </w:r>
            <w:r w:rsidRPr="5D1D556F" w:rsidR="48E9C6ED">
              <w:rPr>
                <w:sz w:val="24"/>
                <w:szCs w:val="24"/>
              </w:rPr>
              <w:t>and/or</w:t>
            </w:r>
            <w:r w:rsidRPr="5D1D556F">
              <w:rPr>
                <w:sz w:val="24"/>
                <w:szCs w:val="24"/>
              </w:rPr>
              <w:t xml:space="preserve"> 4th category biological agents</w:t>
            </w:r>
          </w:p>
        </w:tc>
        <w:tc>
          <w:tcPr>
            <w:tcW w:w="3132" w:type="dxa"/>
          </w:tcPr>
          <w:p w:rsidRPr="006B43F5" w:rsidR="006B43F5" w:rsidP="5D1D556F" w:rsidRDefault="39338C0C" w14:paraId="17477725" w14:textId="4742F77D">
            <w:pPr>
              <w:pStyle w:val="TableParagraph"/>
              <w:rPr>
                <w:rFonts w:cstheme="minorBidi"/>
                <w:sz w:val="24"/>
                <w:szCs w:val="24"/>
              </w:rPr>
            </w:pPr>
            <w:r w:rsidRPr="5D1D556F">
              <w:rPr>
                <w:sz w:val="24"/>
                <w:szCs w:val="24"/>
              </w:rPr>
              <w:t xml:space="preserve">40 years from </w:t>
            </w:r>
            <w:r w:rsidRPr="5D1D556F" w:rsidR="48E9C6ED">
              <w:rPr>
                <w:sz w:val="24"/>
                <w:szCs w:val="24"/>
              </w:rPr>
              <w:t xml:space="preserve">the </w:t>
            </w:r>
            <w:r w:rsidRPr="5D1D556F">
              <w:rPr>
                <w:sz w:val="24"/>
                <w:szCs w:val="24"/>
              </w:rPr>
              <w:t>date of</w:t>
            </w:r>
            <w:r w:rsidRPr="5D1D556F" w:rsidR="52DBABAB">
              <w:rPr>
                <w:sz w:val="24"/>
                <w:szCs w:val="24"/>
              </w:rPr>
              <w:t xml:space="preserve"> the</w:t>
            </w:r>
            <w:r w:rsidRPr="5D1D556F">
              <w:rPr>
                <w:sz w:val="24"/>
                <w:szCs w:val="24"/>
              </w:rPr>
              <w:t xml:space="preserve"> last </w:t>
            </w:r>
            <w:r w:rsidRPr="5D1D556F" w:rsidR="48E9C6ED">
              <w:rPr>
                <w:sz w:val="24"/>
                <w:szCs w:val="24"/>
              </w:rPr>
              <w:t>registered</w:t>
            </w:r>
            <w:r w:rsidRPr="5D1D556F">
              <w:rPr>
                <w:sz w:val="24"/>
                <w:szCs w:val="24"/>
              </w:rPr>
              <w:t xml:space="preserve"> entry.</w:t>
            </w:r>
          </w:p>
        </w:tc>
        <w:tc>
          <w:tcPr>
            <w:tcW w:w="3475" w:type="dxa"/>
          </w:tcPr>
          <w:p w:rsidRPr="006B43F5" w:rsidR="006B43F5" w:rsidP="5D1D556F" w:rsidRDefault="39338C0C" w14:paraId="2BB28528" w14:textId="29F0CF12">
            <w:pPr>
              <w:pStyle w:val="TableParagraph"/>
              <w:rPr>
                <w:rFonts w:cstheme="minorBidi"/>
                <w:sz w:val="24"/>
                <w:szCs w:val="24"/>
              </w:rPr>
            </w:pPr>
            <w:r w:rsidRPr="5D1D556F">
              <w:rPr>
                <w:sz w:val="24"/>
                <w:szCs w:val="24"/>
              </w:rPr>
              <w:t>Schedule 3, paragraph 4, Control of Substances Hazardous to Health Regulations 2002, SI 2002/2677.</w:t>
            </w:r>
          </w:p>
        </w:tc>
      </w:tr>
      <w:tr w:rsidRPr="00734220" w:rsidR="006B43F5" w:rsidTr="6305B8F6" w14:paraId="460B056C" w14:textId="77777777">
        <w:tc>
          <w:tcPr>
            <w:tcW w:w="3823" w:type="dxa"/>
            <w:shd w:val="clear" w:color="auto" w:fill="auto"/>
          </w:tcPr>
          <w:p w:rsidRPr="006B43F5" w:rsidR="006B43F5" w:rsidP="6305B8F6" w:rsidRDefault="774CB662" w14:paraId="138FD0FD" w14:textId="5D232FCE">
            <w:pPr>
              <w:pStyle w:val="TableParagraph"/>
              <w:rPr>
                <w:sz w:val="24"/>
                <w:szCs w:val="24"/>
              </w:rPr>
            </w:pPr>
            <w:r w:rsidRPr="6305B8F6">
              <w:rPr>
                <w:sz w:val="24"/>
                <w:szCs w:val="24"/>
              </w:rPr>
              <w:t xml:space="preserve">Medical and occupational health records and medical examination </w:t>
            </w:r>
            <w:r w:rsidRPr="6305B8F6">
              <w:rPr>
                <w:sz w:val="24"/>
                <w:szCs w:val="24"/>
              </w:rPr>
              <w:lastRenderedPageBreak/>
              <w:t>certificates concerning exposure to asbestos</w:t>
            </w:r>
          </w:p>
        </w:tc>
        <w:tc>
          <w:tcPr>
            <w:tcW w:w="3132" w:type="dxa"/>
            <w:shd w:val="clear" w:color="auto" w:fill="auto"/>
          </w:tcPr>
          <w:p w:rsidRPr="006B43F5" w:rsidR="006B43F5" w:rsidP="6305B8F6" w:rsidRDefault="39338C0C" w14:paraId="118AF02E" w14:textId="02C4447B">
            <w:pPr>
              <w:pStyle w:val="TableParagraph"/>
              <w:rPr>
                <w:rFonts w:cstheme="minorBidi"/>
                <w:sz w:val="24"/>
                <w:szCs w:val="24"/>
              </w:rPr>
            </w:pPr>
            <w:r w:rsidRPr="6305B8F6">
              <w:rPr>
                <w:sz w:val="24"/>
                <w:szCs w:val="24"/>
              </w:rPr>
              <w:lastRenderedPageBreak/>
              <w:t xml:space="preserve">40 years from </w:t>
            </w:r>
            <w:r w:rsidRPr="6305B8F6" w:rsidR="60C2FEF0">
              <w:rPr>
                <w:sz w:val="24"/>
                <w:szCs w:val="24"/>
              </w:rPr>
              <w:t xml:space="preserve">the </w:t>
            </w:r>
            <w:r w:rsidRPr="6305B8F6">
              <w:rPr>
                <w:sz w:val="24"/>
                <w:szCs w:val="24"/>
              </w:rPr>
              <w:t>date of</w:t>
            </w:r>
            <w:r w:rsidRPr="6305B8F6" w:rsidR="7DD788A7">
              <w:rPr>
                <w:sz w:val="24"/>
                <w:szCs w:val="24"/>
              </w:rPr>
              <w:t xml:space="preserve"> the</w:t>
            </w:r>
            <w:r w:rsidRPr="6305B8F6">
              <w:rPr>
                <w:sz w:val="24"/>
                <w:szCs w:val="24"/>
              </w:rPr>
              <w:t xml:space="preserve"> last register entry.</w:t>
            </w:r>
          </w:p>
          <w:p w:rsidRPr="006B43F5" w:rsidR="006B43F5" w:rsidP="6305B8F6" w:rsidRDefault="0CA315DD" w14:paraId="0F5133AF" w14:textId="27FAA5EB">
            <w:pPr>
              <w:pStyle w:val="TableParagraph"/>
              <w:rPr>
                <w:sz w:val="24"/>
                <w:szCs w:val="24"/>
              </w:rPr>
            </w:pPr>
            <w:r w:rsidRPr="6305B8F6">
              <w:rPr>
                <w:sz w:val="24"/>
                <w:szCs w:val="24"/>
              </w:rPr>
              <w:lastRenderedPageBreak/>
              <w:t>Certificates: Date of issue plus 4 years.</w:t>
            </w:r>
          </w:p>
        </w:tc>
        <w:tc>
          <w:tcPr>
            <w:tcW w:w="3475" w:type="dxa"/>
            <w:shd w:val="clear" w:color="auto" w:fill="auto"/>
          </w:tcPr>
          <w:p w:rsidRPr="006B43F5" w:rsidR="006B43F5" w:rsidP="6305B8F6" w:rsidRDefault="0CA315DD" w14:paraId="393875C6" w14:textId="07CED8E7">
            <w:pPr>
              <w:pStyle w:val="TableParagraph"/>
              <w:tabs>
                <w:tab w:val="left" w:pos="1080"/>
              </w:tabs>
              <w:ind w:left="0"/>
              <w:rPr>
                <w:sz w:val="24"/>
                <w:szCs w:val="24"/>
              </w:rPr>
            </w:pPr>
            <w:r w:rsidRPr="6305B8F6">
              <w:rPr>
                <w:sz w:val="24"/>
                <w:szCs w:val="24"/>
              </w:rPr>
              <w:lastRenderedPageBreak/>
              <w:t xml:space="preserve"> The Control of Asbestos at Work Regulations 2002. Control of </w:t>
            </w:r>
            <w:r w:rsidRPr="6305B8F6">
              <w:rPr>
                <w:sz w:val="24"/>
                <w:szCs w:val="24"/>
              </w:rPr>
              <w:lastRenderedPageBreak/>
              <w:t>Asbestos Regulations 2006. Control of Asbestos Regulations 2012.</w:t>
            </w:r>
          </w:p>
        </w:tc>
      </w:tr>
      <w:tr w:rsidR="6305B8F6" w:rsidTr="6305B8F6" w14:paraId="47329792" w14:textId="77777777">
        <w:trPr>
          <w:trHeight w:val="300"/>
        </w:trPr>
        <w:tc>
          <w:tcPr>
            <w:tcW w:w="3823" w:type="dxa"/>
            <w:shd w:val="clear" w:color="auto" w:fill="auto"/>
          </w:tcPr>
          <w:p w:rsidR="39713117" w:rsidP="6305B8F6" w:rsidRDefault="39713117" w14:paraId="1C7B65AE" w14:textId="3B3079DE">
            <w:pPr>
              <w:pStyle w:val="TableParagraph"/>
              <w:rPr>
                <w:sz w:val="24"/>
                <w:szCs w:val="24"/>
              </w:rPr>
            </w:pPr>
            <w:r w:rsidRPr="6305B8F6">
              <w:rPr>
                <w:sz w:val="24"/>
                <w:szCs w:val="24"/>
              </w:rPr>
              <w:lastRenderedPageBreak/>
              <w:t>Register of employees exposed to airborne asbestos (including employee health records)</w:t>
            </w:r>
          </w:p>
        </w:tc>
        <w:tc>
          <w:tcPr>
            <w:tcW w:w="3132" w:type="dxa"/>
            <w:shd w:val="clear" w:color="auto" w:fill="auto"/>
          </w:tcPr>
          <w:p w:rsidR="39713117" w:rsidP="6305B8F6" w:rsidRDefault="39713117" w14:paraId="525E1601" w14:textId="70C908EB">
            <w:pPr>
              <w:pStyle w:val="TableParagraph"/>
              <w:rPr>
                <w:sz w:val="24"/>
                <w:szCs w:val="24"/>
              </w:rPr>
            </w:pPr>
            <w:r w:rsidRPr="6305B8F6">
              <w:rPr>
                <w:sz w:val="24"/>
                <w:szCs w:val="24"/>
              </w:rPr>
              <w:t>40 years from date of last register entry</w:t>
            </w:r>
          </w:p>
        </w:tc>
        <w:tc>
          <w:tcPr>
            <w:tcW w:w="3475" w:type="dxa"/>
            <w:shd w:val="clear" w:color="auto" w:fill="auto"/>
          </w:tcPr>
          <w:p w:rsidR="39713117" w:rsidP="6305B8F6" w:rsidRDefault="39713117" w14:paraId="135C9632" w14:textId="75AFCAC3">
            <w:pPr>
              <w:pStyle w:val="TableParagraph"/>
              <w:rPr>
                <w:sz w:val="24"/>
                <w:szCs w:val="24"/>
              </w:rPr>
            </w:pPr>
            <w:r w:rsidRPr="6305B8F6">
              <w:rPr>
                <w:sz w:val="24"/>
                <w:szCs w:val="24"/>
              </w:rPr>
              <w:t>Regulation 22(1) Control of Asbestos Regulations 2012, SI 2012/632.</w:t>
            </w:r>
          </w:p>
        </w:tc>
      </w:tr>
      <w:tr w:rsidR="6305B8F6" w:rsidTr="6305B8F6" w14:paraId="77E48551" w14:textId="77777777">
        <w:trPr>
          <w:trHeight w:val="300"/>
        </w:trPr>
        <w:tc>
          <w:tcPr>
            <w:tcW w:w="3823" w:type="dxa"/>
            <w:shd w:val="clear" w:color="auto" w:fill="auto"/>
          </w:tcPr>
          <w:p w:rsidR="1A2C2F78" w:rsidP="6305B8F6" w:rsidRDefault="1A2C2F78" w14:paraId="41B39AA8" w14:textId="2C77183B">
            <w:pPr>
              <w:pStyle w:val="TableParagraph"/>
              <w:rPr>
                <w:sz w:val="24"/>
                <w:szCs w:val="24"/>
              </w:rPr>
            </w:pPr>
            <w:r w:rsidRPr="6305B8F6">
              <w:rPr>
                <w:sz w:val="24"/>
                <w:szCs w:val="24"/>
              </w:rPr>
              <w:t>Manufacturer documents re conformity assessment / statement of an energy-consuming product</w:t>
            </w:r>
          </w:p>
        </w:tc>
        <w:tc>
          <w:tcPr>
            <w:tcW w:w="3132" w:type="dxa"/>
            <w:shd w:val="clear" w:color="auto" w:fill="auto"/>
          </w:tcPr>
          <w:p w:rsidR="1A2C2F78" w:rsidP="6305B8F6" w:rsidRDefault="1A2C2F78" w14:paraId="150B3B0E" w14:textId="3C4809D2">
            <w:pPr>
              <w:pStyle w:val="TableParagraph"/>
              <w:rPr>
                <w:sz w:val="24"/>
                <w:szCs w:val="24"/>
              </w:rPr>
            </w:pPr>
            <w:r w:rsidRPr="6305B8F6">
              <w:rPr>
                <w:sz w:val="24"/>
                <w:szCs w:val="24"/>
              </w:rPr>
              <w:t>Minimum 10 years</w:t>
            </w:r>
          </w:p>
        </w:tc>
        <w:tc>
          <w:tcPr>
            <w:tcW w:w="3475" w:type="dxa"/>
            <w:shd w:val="clear" w:color="auto" w:fill="auto"/>
          </w:tcPr>
          <w:p w:rsidR="1A2C2F78" w:rsidP="6305B8F6" w:rsidRDefault="1A2C2F78" w14:paraId="63A4D271" w14:textId="417194B0">
            <w:pPr>
              <w:pStyle w:val="TableParagraph"/>
              <w:rPr>
                <w:sz w:val="24"/>
                <w:szCs w:val="24"/>
              </w:rPr>
            </w:pPr>
            <w:r w:rsidRPr="6305B8F6">
              <w:rPr>
                <w:sz w:val="24"/>
                <w:szCs w:val="24"/>
              </w:rPr>
              <w:t>Regulation 9, Eco-design for Energy-Related Products Regulations 2010/2617.</w:t>
            </w:r>
          </w:p>
        </w:tc>
      </w:tr>
      <w:tr w:rsidR="6305B8F6" w:rsidTr="6305B8F6" w14:paraId="20539445" w14:textId="77777777">
        <w:trPr>
          <w:trHeight w:val="300"/>
        </w:trPr>
        <w:tc>
          <w:tcPr>
            <w:tcW w:w="3823" w:type="dxa"/>
            <w:shd w:val="clear" w:color="auto" w:fill="auto"/>
          </w:tcPr>
          <w:p w:rsidR="4F342F26" w:rsidP="6305B8F6" w:rsidRDefault="4F342F26" w14:paraId="6F37D7F9" w14:textId="5D2DF78A">
            <w:pPr>
              <w:pStyle w:val="TableParagraph"/>
              <w:rPr>
                <w:sz w:val="24"/>
                <w:szCs w:val="24"/>
              </w:rPr>
            </w:pPr>
            <w:r w:rsidRPr="6305B8F6">
              <w:rPr>
                <w:sz w:val="24"/>
                <w:szCs w:val="24"/>
              </w:rPr>
              <w:t>Technical specification documentation and performance declarations on construction products</w:t>
            </w:r>
          </w:p>
        </w:tc>
        <w:tc>
          <w:tcPr>
            <w:tcW w:w="3132" w:type="dxa"/>
            <w:shd w:val="clear" w:color="auto" w:fill="auto"/>
          </w:tcPr>
          <w:p w:rsidR="4F342F26" w:rsidP="6305B8F6" w:rsidRDefault="4F342F26" w14:paraId="0647623F" w14:textId="65055FCC">
            <w:pPr>
              <w:pStyle w:val="TableParagraph"/>
              <w:rPr>
                <w:sz w:val="24"/>
                <w:szCs w:val="24"/>
              </w:rPr>
            </w:pPr>
            <w:r w:rsidRPr="6305B8F6">
              <w:rPr>
                <w:sz w:val="24"/>
                <w:szCs w:val="24"/>
              </w:rPr>
              <w:t>Minimum 10 years</w:t>
            </w:r>
          </w:p>
        </w:tc>
        <w:tc>
          <w:tcPr>
            <w:tcW w:w="3475" w:type="dxa"/>
            <w:shd w:val="clear" w:color="auto" w:fill="auto"/>
          </w:tcPr>
          <w:p w:rsidR="4F342F26" w:rsidP="6305B8F6" w:rsidRDefault="4F342F26" w14:paraId="2E59D7A6" w14:textId="6819C86B">
            <w:pPr>
              <w:pStyle w:val="TableParagraph"/>
              <w:rPr>
                <w:sz w:val="24"/>
                <w:szCs w:val="24"/>
              </w:rPr>
            </w:pPr>
            <w:r w:rsidRPr="6305B8F6">
              <w:rPr>
                <w:sz w:val="24"/>
                <w:szCs w:val="24"/>
              </w:rPr>
              <w:t xml:space="preserve">Article 11 Regulation (EU) No 305/2011, laying down </w:t>
            </w:r>
            <w:proofErr w:type="spellStart"/>
            <w:r w:rsidRPr="6305B8F6">
              <w:rPr>
                <w:sz w:val="24"/>
                <w:szCs w:val="24"/>
              </w:rPr>
              <w:t>harmonised</w:t>
            </w:r>
            <w:proofErr w:type="spellEnd"/>
            <w:r w:rsidRPr="6305B8F6">
              <w:rPr>
                <w:sz w:val="24"/>
                <w:szCs w:val="24"/>
              </w:rPr>
              <w:t xml:space="preserve"> conditions for the marketing of construction products and repealing Council Directive 89/106/E.</w:t>
            </w:r>
          </w:p>
        </w:tc>
      </w:tr>
      <w:tr w:rsidR="6305B8F6" w:rsidTr="6305B8F6" w14:paraId="291861C9" w14:textId="77777777">
        <w:trPr>
          <w:trHeight w:val="300"/>
        </w:trPr>
        <w:tc>
          <w:tcPr>
            <w:tcW w:w="3823" w:type="dxa"/>
            <w:shd w:val="clear" w:color="auto" w:fill="auto"/>
          </w:tcPr>
          <w:p w:rsidR="4F342F26" w:rsidP="6305B8F6" w:rsidRDefault="4F342F26" w14:paraId="6206CCA4" w14:textId="7CA76549">
            <w:pPr>
              <w:pStyle w:val="TableParagraph"/>
              <w:rPr>
                <w:sz w:val="24"/>
                <w:szCs w:val="24"/>
              </w:rPr>
            </w:pPr>
            <w:r w:rsidRPr="6305B8F6">
              <w:rPr>
                <w:sz w:val="24"/>
                <w:szCs w:val="24"/>
              </w:rPr>
              <w:t>Copy of documents re transfer of waste materials by competent authority</w:t>
            </w:r>
          </w:p>
        </w:tc>
        <w:tc>
          <w:tcPr>
            <w:tcW w:w="3132" w:type="dxa"/>
            <w:shd w:val="clear" w:color="auto" w:fill="auto"/>
          </w:tcPr>
          <w:p w:rsidR="4F342F26" w:rsidP="6305B8F6" w:rsidRDefault="4F342F26" w14:paraId="5E709CF6" w14:textId="0876EB13">
            <w:pPr>
              <w:pStyle w:val="TableParagraph"/>
              <w:rPr>
                <w:sz w:val="24"/>
                <w:szCs w:val="24"/>
              </w:rPr>
            </w:pPr>
            <w:r w:rsidRPr="6305B8F6">
              <w:rPr>
                <w:sz w:val="24"/>
                <w:szCs w:val="24"/>
              </w:rPr>
              <w:t>Minimum 3 years from transfer</w:t>
            </w:r>
          </w:p>
        </w:tc>
        <w:tc>
          <w:tcPr>
            <w:tcW w:w="3475" w:type="dxa"/>
            <w:shd w:val="clear" w:color="auto" w:fill="auto"/>
          </w:tcPr>
          <w:p w:rsidR="4F342F26" w:rsidP="6305B8F6" w:rsidRDefault="4F342F26" w14:paraId="523D8D5B" w14:textId="6E8762FC">
            <w:pPr>
              <w:pStyle w:val="TableParagraph"/>
              <w:rPr>
                <w:sz w:val="24"/>
                <w:szCs w:val="24"/>
              </w:rPr>
            </w:pPr>
            <w:r w:rsidRPr="6305B8F6">
              <w:rPr>
                <w:sz w:val="24"/>
                <w:szCs w:val="24"/>
              </w:rPr>
              <w:t>Article 20 of the Regulation (EC) No 1013/2006 on Shipments of Waste.</w:t>
            </w:r>
          </w:p>
        </w:tc>
      </w:tr>
      <w:tr w:rsidR="6305B8F6" w:rsidTr="6305B8F6" w14:paraId="779CE091" w14:textId="77777777">
        <w:trPr>
          <w:trHeight w:val="300"/>
        </w:trPr>
        <w:tc>
          <w:tcPr>
            <w:tcW w:w="3823" w:type="dxa"/>
            <w:shd w:val="clear" w:color="auto" w:fill="auto"/>
          </w:tcPr>
          <w:p w:rsidR="4F342F26" w:rsidP="6305B8F6" w:rsidRDefault="4F342F26" w14:paraId="12B77655" w14:textId="63815A41">
            <w:pPr>
              <w:pStyle w:val="TableParagraph"/>
              <w:rPr>
                <w:sz w:val="24"/>
                <w:szCs w:val="24"/>
              </w:rPr>
            </w:pPr>
            <w:r w:rsidRPr="6305B8F6">
              <w:rPr>
                <w:sz w:val="24"/>
                <w:szCs w:val="24"/>
              </w:rPr>
              <w:t xml:space="preserve">Data on nature, </w:t>
            </w:r>
            <w:proofErr w:type="gramStart"/>
            <w:r w:rsidRPr="6305B8F6">
              <w:rPr>
                <w:sz w:val="24"/>
                <w:szCs w:val="24"/>
              </w:rPr>
              <w:t>quality</w:t>
            </w:r>
            <w:proofErr w:type="gramEnd"/>
            <w:r w:rsidRPr="6305B8F6">
              <w:rPr>
                <w:sz w:val="24"/>
                <w:szCs w:val="24"/>
              </w:rPr>
              <w:t xml:space="preserve"> and composition of waste re obligations of producer, holder or consignor of hazardous waste to retain records</w:t>
            </w:r>
          </w:p>
        </w:tc>
        <w:tc>
          <w:tcPr>
            <w:tcW w:w="3132" w:type="dxa"/>
            <w:shd w:val="clear" w:color="auto" w:fill="auto"/>
          </w:tcPr>
          <w:p w:rsidR="4F342F26" w:rsidP="6305B8F6" w:rsidRDefault="4F342F26" w14:paraId="4B5349DB" w14:textId="560D2C49">
            <w:pPr>
              <w:pStyle w:val="TableParagraph"/>
              <w:rPr>
                <w:sz w:val="24"/>
                <w:szCs w:val="24"/>
              </w:rPr>
            </w:pPr>
            <w:r w:rsidRPr="6305B8F6">
              <w:rPr>
                <w:sz w:val="24"/>
                <w:szCs w:val="24"/>
              </w:rPr>
              <w:t>Minimum: length of time as holder of the waste and a further 3 years.</w:t>
            </w:r>
          </w:p>
        </w:tc>
        <w:tc>
          <w:tcPr>
            <w:tcW w:w="3475" w:type="dxa"/>
            <w:shd w:val="clear" w:color="auto" w:fill="auto"/>
          </w:tcPr>
          <w:p w:rsidR="4F342F26" w:rsidP="6305B8F6" w:rsidRDefault="4F342F26" w14:paraId="02A90811" w14:textId="446FD333">
            <w:pPr>
              <w:pStyle w:val="TableParagraph"/>
              <w:rPr>
                <w:sz w:val="24"/>
                <w:szCs w:val="24"/>
              </w:rPr>
            </w:pPr>
            <w:r w:rsidRPr="6305B8F6">
              <w:rPr>
                <w:sz w:val="24"/>
                <w:szCs w:val="24"/>
              </w:rPr>
              <w:t>Regulation 49(3) Hazardous Waste (England and Wales) Regulations 2005 (as amended).</w:t>
            </w:r>
          </w:p>
        </w:tc>
      </w:tr>
      <w:tr w:rsidR="6305B8F6" w:rsidTr="6305B8F6" w14:paraId="4E7D7E7D" w14:textId="77777777">
        <w:trPr>
          <w:trHeight w:val="300"/>
        </w:trPr>
        <w:tc>
          <w:tcPr>
            <w:tcW w:w="3823" w:type="dxa"/>
            <w:shd w:val="clear" w:color="auto" w:fill="auto"/>
          </w:tcPr>
          <w:p w:rsidR="4F342F26" w:rsidP="6305B8F6" w:rsidRDefault="4F342F26" w14:paraId="51A49572" w14:textId="19C82E8F">
            <w:pPr>
              <w:pStyle w:val="TableParagraph"/>
              <w:rPr>
                <w:sz w:val="24"/>
                <w:szCs w:val="24"/>
              </w:rPr>
            </w:pPr>
            <w:r w:rsidRPr="6305B8F6">
              <w:rPr>
                <w:sz w:val="24"/>
                <w:szCs w:val="24"/>
              </w:rPr>
              <w:t>Technical documentation on noise emissions</w:t>
            </w:r>
          </w:p>
        </w:tc>
        <w:tc>
          <w:tcPr>
            <w:tcW w:w="3132" w:type="dxa"/>
            <w:shd w:val="clear" w:color="auto" w:fill="auto"/>
          </w:tcPr>
          <w:p w:rsidR="4F342F26" w:rsidP="6305B8F6" w:rsidRDefault="4F342F26" w14:paraId="4E0C84BE" w14:textId="7FC61948">
            <w:pPr>
              <w:pStyle w:val="TableParagraph"/>
              <w:rPr>
                <w:sz w:val="24"/>
                <w:szCs w:val="24"/>
              </w:rPr>
            </w:pPr>
            <w:r w:rsidRPr="6305B8F6">
              <w:rPr>
                <w:sz w:val="24"/>
                <w:szCs w:val="24"/>
              </w:rPr>
              <w:t>Minimum 10 years</w:t>
            </w:r>
          </w:p>
        </w:tc>
        <w:tc>
          <w:tcPr>
            <w:tcW w:w="3475" w:type="dxa"/>
            <w:shd w:val="clear" w:color="auto" w:fill="auto"/>
          </w:tcPr>
          <w:p w:rsidR="4F342F26" w:rsidP="6305B8F6" w:rsidRDefault="4F342F26" w14:paraId="5599C645" w14:textId="6D1C8F08">
            <w:pPr>
              <w:pStyle w:val="TableParagraph"/>
              <w:rPr>
                <w:sz w:val="24"/>
                <w:szCs w:val="24"/>
              </w:rPr>
            </w:pPr>
            <w:r w:rsidRPr="6305B8F6">
              <w:rPr>
                <w:sz w:val="24"/>
                <w:szCs w:val="24"/>
              </w:rPr>
              <w:t>Regulation 7, Noise Emission in the Environment by Equipment for use Outdoors Regulations 2001/1701. Directive 2000/14 of the European Parliament and of the Council of 8 May 2000 on approximation of the laws of the Member States relating to the noise emission in the environment by equipment for use outdoors and EC-statement</w:t>
            </w:r>
          </w:p>
        </w:tc>
      </w:tr>
    </w:tbl>
    <w:p w:rsidR="004433B7" w:rsidP="5D1D556F" w:rsidRDefault="004433B7" w14:paraId="59BC9086" w14:textId="77777777">
      <w:pPr>
        <w:pStyle w:val="TableParagraph"/>
        <w:rPr>
          <w:sz w:val="24"/>
          <w:szCs w:val="24"/>
        </w:rPr>
      </w:pPr>
    </w:p>
    <w:p w:rsidR="00837EBE" w:rsidP="00837EBE" w:rsidRDefault="00837EBE" w14:paraId="57259499" w14:textId="77777777">
      <w:pPr>
        <w:pStyle w:val="Appendix1"/>
      </w:pPr>
      <w:bookmarkStart w:name="_Toc180415075" w:id="10"/>
      <w:r>
        <w:t>Insurance Records</w:t>
      </w:r>
      <w:bookmarkEnd w:id="10"/>
    </w:p>
    <w:tbl>
      <w:tblPr>
        <w:tblW w:w="0" w:type="auto"/>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00" w:firstRow="0" w:lastRow="0" w:firstColumn="0" w:lastColumn="0" w:noHBand="0" w:noVBand="1"/>
      </w:tblPr>
      <w:tblGrid>
        <w:gridCol w:w="3161"/>
        <w:gridCol w:w="3100"/>
        <w:gridCol w:w="3089"/>
      </w:tblGrid>
      <w:tr w:rsidR="00837EBE" w:rsidTr="002A458B" w14:paraId="536FD272" w14:textId="77777777">
        <w:trPr>
          <w:trHeight w:val="540"/>
        </w:trPr>
        <w:tc>
          <w:tcPr>
            <w:tcW w:w="3481" w:type="dxa"/>
            <w:shd w:val="clear" w:color="auto" w:fill="C6D9F1" w:themeFill="text2" w:themeFillTint="33"/>
          </w:tcPr>
          <w:p w:rsidR="00837EBE" w:rsidP="002A458B" w:rsidRDefault="00837EBE" w14:paraId="57C2843A" w14:textId="77777777">
            <w:pPr>
              <w:jc w:val="center"/>
              <w:rPr>
                <w:rFonts w:ascii="Calibri" w:hAnsi="Calibri" w:eastAsia="Calibri" w:cs="Calibri"/>
                <w:b/>
                <w:bCs/>
              </w:rPr>
            </w:pPr>
            <w:r w:rsidRPr="6305B8F6">
              <w:rPr>
                <w:rFonts w:ascii="Calibri" w:hAnsi="Calibri" w:eastAsia="Calibri" w:cs="Calibri"/>
                <w:b/>
                <w:bCs/>
              </w:rPr>
              <w:t>Type of Material</w:t>
            </w:r>
          </w:p>
          <w:p w:rsidR="00837EBE" w:rsidP="002A458B" w:rsidRDefault="00837EBE" w14:paraId="5C578C52" w14:textId="77777777">
            <w:pPr>
              <w:jc w:val="center"/>
              <w:rPr>
                <w:rFonts w:ascii="Calibri" w:hAnsi="Calibri" w:eastAsia="Calibri" w:cs="Calibri"/>
                <w:b/>
                <w:bCs/>
              </w:rPr>
            </w:pPr>
          </w:p>
        </w:tc>
        <w:tc>
          <w:tcPr>
            <w:tcW w:w="3474" w:type="dxa"/>
            <w:shd w:val="clear" w:color="auto" w:fill="C6D9F1" w:themeFill="text2" w:themeFillTint="33"/>
          </w:tcPr>
          <w:p w:rsidR="00837EBE" w:rsidP="002A458B" w:rsidRDefault="00837EBE" w14:paraId="25AF0B2B" w14:textId="77777777">
            <w:pPr>
              <w:jc w:val="center"/>
              <w:rPr>
                <w:rFonts w:ascii="Calibri" w:hAnsi="Calibri" w:eastAsia="Calibri" w:cs="Calibri"/>
                <w:b/>
                <w:bCs/>
              </w:rPr>
            </w:pPr>
            <w:r w:rsidRPr="6305B8F6">
              <w:rPr>
                <w:rFonts w:ascii="Calibri" w:hAnsi="Calibri" w:eastAsia="Calibri" w:cs="Calibri"/>
                <w:b/>
                <w:bCs/>
              </w:rPr>
              <w:t>Minimum Retention Period</w:t>
            </w:r>
          </w:p>
        </w:tc>
        <w:tc>
          <w:tcPr>
            <w:tcW w:w="3475" w:type="dxa"/>
            <w:shd w:val="clear" w:color="auto" w:fill="C6D9F1" w:themeFill="text2" w:themeFillTint="33"/>
          </w:tcPr>
          <w:p w:rsidR="00837EBE" w:rsidP="002A458B" w:rsidRDefault="00837EBE" w14:paraId="474C413E" w14:textId="77777777">
            <w:pPr>
              <w:jc w:val="center"/>
              <w:rPr>
                <w:rFonts w:ascii="Calibri" w:hAnsi="Calibri" w:eastAsia="Calibri" w:cs="Calibri"/>
                <w:b/>
                <w:bCs/>
              </w:rPr>
            </w:pPr>
            <w:r w:rsidRPr="6305B8F6">
              <w:rPr>
                <w:rFonts w:ascii="Calibri" w:hAnsi="Calibri" w:eastAsia="Calibri" w:cs="Calibri"/>
                <w:b/>
                <w:bCs/>
              </w:rPr>
              <w:t>Reason</w:t>
            </w:r>
          </w:p>
        </w:tc>
      </w:tr>
      <w:tr w:rsidR="00837EBE" w:rsidTr="002A458B" w14:paraId="2EBD66C2" w14:textId="77777777">
        <w:trPr>
          <w:trHeight w:val="300"/>
        </w:trPr>
        <w:tc>
          <w:tcPr>
            <w:tcW w:w="3481" w:type="dxa"/>
          </w:tcPr>
          <w:p w:rsidR="00837EBE" w:rsidP="002A458B" w:rsidRDefault="00837EBE" w14:paraId="03E940FA" w14:textId="77777777">
            <w:pPr>
              <w:pStyle w:val="TableParagraph"/>
              <w:rPr>
                <w:sz w:val="24"/>
                <w:szCs w:val="24"/>
              </w:rPr>
            </w:pPr>
            <w:r w:rsidRPr="6305B8F6">
              <w:t xml:space="preserve">Insurance policy, proposal forms, renewal notices and </w:t>
            </w:r>
            <w:r w:rsidRPr="6305B8F6">
              <w:lastRenderedPageBreak/>
              <w:t>certificates.</w:t>
            </w:r>
            <w:r w:rsidRPr="6305B8F6">
              <w:rPr>
                <w:sz w:val="24"/>
                <w:szCs w:val="24"/>
              </w:rPr>
              <w:t xml:space="preserve"> purchase and sales ledger; employee expense records)</w:t>
            </w:r>
          </w:p>
        </w:tc>
        <w:tc>
          <w:tcPr>
            <w:tcW w:w="3474" w:type="dxa"/>
          </w:tcPr>
          <w:p w:rsidR="00837EBE" w:rsidP="002A458B" w:rsidRDefault="00837EBE" w14:paraId="266E56F7" w14:textId="77777777">
            <w:pPr>
              <w:pStyle w:val="TableParagraph"/>
              <w:rPr>
                <w:sz w:val="24"/>
                <w:szCs w:val="24"/>
              </w:rPr>
            </w:pPr>
            <w:r w:rsidRPr="6305B8F6">
              <w:lastRenderedPageBreak/>
              <w:t xml:space="preserve">Until claims under the policy are barred, all outstanding claims are settled, the </w:t>
            </w:r>
            <w:r w:rsidRPr="6305B8F6">
              <w:lastRenderedPageBreak/>
              <w:t>policyholder can no longer bring legal proceedings against the insurer or broker and, if legal proceedings have started, the appeals process has been exhausted.</w:t>
            </w:r>
            <w:r w:rsidRPr="6305B8F6">
              <w:rPr>
                <w:sz w:val="24"/>
                <w:szCs w:val="24"/>
              </w:rPr>
              <w:t xml:space="preserve"> end of any tax enquiry, if longer.</w:t>
            </w:r>
          </w:p>
        </w:tc>
        <w:tc>
          <w:tcPr>
            <w:tcW w:w="3475" w:type="dxa"/>
          </w:tcPr>
          <w:p w:rsidR="00837EBE" w:rsidP="002A458B" w:rsidRDefault="00837EBE" w14:paraId="720B18A5" w14:textId="77777777">
            <w:pPr>
              <w:pStyle w:val="TableParagraph"/>
              <w:rPr>
                <w:sz w:val="24"/>
                <w:szCs w:val="24"/>
              </w:rPr>
            </w:pPr>
            <w:r w:rsidRPr="6305B8F6">
              <w:rPr>
                <w:sz w:val="24"/>
                <w:szCs w:val="24"/>
              </w:rPr>
              <w:lastRenderedPageBreak/>
              <w:t xml:space="preserve">Companies Act 1985 as amended by the Companies </w:t>
            </w:r>
            <w:r w:rsidRPr="6305B8F6">
              <w:rPr>
                <w:sz w:val="24"/>
                <w:szCs w:val="24"/>
              </w:rPr>
              <w:lastRenderedPageBreak/>
              <w:t>Acts 1989 &amp; 2006. Generally Accepted Accounting Practice (UK GAAP).</w:t>
            </w:r>
          </w:p>
        </w:tc>
      </w:tr>
      <w:tr w:rsidR="00837EBE" w:rsidTr="002A458B" w14:paraId="46A0EAD9" w14:textId="77777777">
        <w:trPr>
          <w:trHeight w:val="300"/>
        </w:trPr>
        <w:tc>
          <w:tcPr>
            <w:tcW w:w="3481" w:type="dxa"/>
          </w:tcPr>
          <w:p w:rsidR="00837EBE" w:rsidP="002A458B" w:rsidRDefault="00837EBE" w14:paraId="331BDAD9" w14:textId="77777777">
            <w:pPr>
              <w:pStyle w:val="TableParagraph"/>
            </w:pPr>
            <w:r w:rsidRPr="6305B8F6">
              <w:lastRenderedPageBreak/>
              <w:t>Records relating to the suitability and appropriateness of an insurance-based investment product for the customer</w:t>
            </w:r>
          </w:p>
        </w:tc>
        <w:tc>
          <w:tcPr>
            <w:tcW w:w="3474" w:type="dxa"/>
          </w:tcPr>
          <w:p w:rsidR="00837EBE" w:rsidP="002A458B" w:rsidRDefault="00837EBE" w14:paraId="4EA77D6A" w14:textId="77777777">
            <w:pPr>
              <w:pStyle w:val="TableParagraph"/>
            </w:pPr>
            <w:r w:rsidRPr="6305B8F6">
              <w:t xml:space="preserve">You must keep records for at least 5 years or if necessary, for the length of the relationship between the insurance intermediary / insurance undertaking and the customer. </w:t>
            </w:r>
          </w:p>
        </w:tc>
        <w:tc>
          <w:tcPr>
            <w:tcW w:w="3475" w:type="dxa"/>
          </w:tcPr>
          <w:p w:rsidR="00837EBE" w:rsidP="002A458B" w:rsidRDefault="00837EBE" w14:paraId="0A832966" w14:textId="77777777">
            <w:pPr>
              <w:pStyle w:val="TableParagraph"/>
            </w:pPr>
            <w:r w:rsidRPr="6305B8F6">
              <w:t xml:space="preserve">Financial Conduct Authority SYSC 9.1.2AR </w:t>
            </w:r>
          </w:p>
          <w:p w:rsidR="00837EBE" w:rsidP="002A458B" w:rsidRDefault="00837EBE" w14:paraId="64D7D205" w14:textId="77777777">
            <w:pPr>
              <w:pStyle w:val="TableParagraph"/>
            </w:pPr>
            <w:r w:rsidRPr="6305B8F6">
              <w:t>Article 19 (EU) 2017/2359 and, COBS 9A.4.3 and COBS 10A.7.2A.</w:t>
            </w:r>
          </w:p>
        </w:tc>
      </w:tr>
      <w:tr w:rsidR="00837EBE" w:rsidTr="002A458B" w14:paraId="0A978648" w14:textId="77777777">
        <w:trPr>
          <w:trHeight w:val="300"/>
        </w:trPr>
        <w:tc>
          <w:tcPr>
            <w:tcW w:w="3481" w:type="dxa"/>
          </w:tcPr>
          <w:p w:rsidR="00837EBE" w:rsidP="002A458B" w:rsidRDefault="00837EBE" w14:paraId="265E694A" w14:textId="77777777">
            <w:pPr>
              <w:pStyle w:val="TableParagraph"/>
            </w:pPr>
            <w:r w:rsidRPr="6305B8F6">
              <w:t>Claim documents: records of incidents giving rise to a claim, claim correspondence and records of payouts</w:t>
            </w:r>
          </w:p>
        </w:tc>
        <w:tc>
          <w:tcPr>
            <w:tcW w:w="3474" w:type="dxa"/>
          </w:tcPr>
          <w:p w:rsidR="00837EBE" w:rsidP="002A458B" w:rsidRDefault="00837EBE" w14:paraId="0EFA0949" w14:textId="77777777">
            <w:pPr>
              <w:pStyle w:val="TableParagraph"/>
            </w:pPr>
            <w:r w:rsidRPr="6305B8F6">
              <w:t>Until claims under the policy are barred, all outstanding claims are settled, the policyholder can no longer bring legal proceedings against the insurer or broker and, if legal proceedings are commenced, the appeals process has been exhausted.</w:t>
            </w:r>
          </w:p>
        </w:tc>
        <w:tc>
          <w:tcPr>
            <w:tcW w:w="3475" w:type="dxa"/>
          </w:tcPr>
          <w:p w:rsidR="00837EBE" w:rsidP="002A458B" w:rsidRDefault="00837EBE" w14:paraId="29430159" w14:textId="77777777">
            <w:pPr>
              <w:pStyle w:val="TableParagraph"/>
              <w:rPr>
                <w:sz w:val="24"/>
                <w:szCs w:val="24"/>
              </w:rPr>
            </w:pPr>
            <w:r w:rsidRPr="098D6404">
              <w:rPr>
                <w:rFonts w:asciiTheme="minorHAnsi" w:hAnsiTheme="minorHAnsi" w:eastAsiaTheme="minorEastAsia" w:cstheme="minorBidi"/>
                <w:color w:val="000000" w:themeColor="text1"/>
                <w:sz w:val="24"/>
                <w:szCs w:val="24"/>
              </w:rPr>
              <w:t>Company Policy</w:t>
            </w:r>
          </w:p>
        </w:tc>
      </w:tr>
      <w:tr w:rsidR="00837EBE" w:rsidTr="002A458B" w14:paraId="3990BD8B" w14:textId="77777777">
        <w:trPr>
          <w:trHeight w:val="300"/>
        </w:trPr>
        <w:tc>
          <w:tcPr>
            <w:tcW w:w="3481" w:type="dxa"/>
          </w:tcPr>
          <w:p w:rsidR="00837EBE" w:rsidP="002A458B" w:rsidRDefault="00837EBE" w14:paraId="72072E8D" w14:textId="77777777">
            <w:pPr>
              <w:pStyle w:val="TableParagraph"/>
            </w:pPr>
            <w:r w:rsidRPr="6305B8F6">
              <w:t>Records relating to Insurance Premium Tax (including policy documents, copies of invoices, credit or debit notes and business and accounting records)</w:t>
            </w:r>
          </w:p>
        </w:tc>
        <w:tc>
          <w:tcPr>
            <w:tcW w:w="3474" w:type="dxa"/>
          </w:tcPr>
          <w:p w:rsidR="00837EBE" w:rsidP="002A458B" w:rsidRDefault="00837EBE" w14:paraId="1891D27C" w14:textId="77777777">
            <w:pPr>
              <w:pStyle w:val="TableParagraph"/>
            </w:pPr>
            <w:r w:rsidRPr="6305B8F6">
              <w:t>For tax purposes you must keep these records for a period of six years.</w:t>
            </w:r>
          </w:p>
        </w:tc>
        <w:tc>
          <w:tcPr>
            <w:tcW w:w="3475" w:type="dxa"/>
          </w:tcPr>
          <w:p w:rsidR="00837EBE" w:rsidP="002A458B" w:rsidRDefault="00837EBE" w14:paraId="2D448AE2" w14:textId="77777777">
            <w:pPr>
              <w:pStyle w:val="TableParagraph"/>
            </w:pPr>
            <w:r w:rsidRPr="6305B8F6">
              <w:t>Regulation 16 of the Insurance Premium Tax Regulations 1994, SI 1994/1774.</w:t>
            </w:r>
          </w:p>
        </w:tc>
      </w:tr>
    </w:tbl>
    <w:p w:rsidR="00837EBE" w:rsidP="5D1D556F" w:rsidRDefault="00837EBE" w14:paraId="308771CD" w14:textId="0AFACD08">
      <w:pPr>
        <w:pStyle w:val="TableParagraph"/>
        <w:rPr>
          <w:sz w:val="24"/>
          <w:szCs w:val="24"/>
        </w:rPr>
      </w:pPr>
    </w:p>
    <w:p w:rsidR="00837EBE" w:rsidP="5D1D556F" w:rsidRDefault="00837EBE" w14:paraId="70E35F7D" w14:textId="77777777">
      <w:pPr>
        <w:pStyle w:val="TableParagraph"/>
        <w:rPr>
          <w:sz w:val="24"/>
          <w:szCs w:val="24"/>
        </w:rPr>
      </w:pPr>
    </w:p>
    <w:p w:rsidR="00837EBE" w:rsidP="00837EBE" w:rsidRDefault="00837EBE" w14:paraId="060CFFCB" w14:textId="3BBDD0C2">
      <w:pPr>
        <w:pStyle w:val="Appendix1"/>
        <w:rPr>
          <w:b/>
          <w:bCs/>
        </w:rPr>
      </w:pPr>
      <w:bookmarkStart w:name="_Toc180415076" w:id="11"/>
      <w:r w:rsidRPr="5D1D556F">
        <w:t>Miscellaneous</w:t>
      </w:r>
      <w:bookmarkEnd w:id="11"/>
    </w:p>
    <w:tbl>
      <w:tblPr>
        <w:tblW w:w="97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3481"/>
        <w:gridCol w:w="58"/>
        <w:gridCol w:w="3402"/>
        <w:gridCol w:w="14"/>
        <w:gridCol w:w="2797"/>
        <w:gridCol w:w="24"/>
      </w:tblGrid>
      <w:tr w:rsidRPr="00734220" w:rsidR="00BF64F7" w:rsidTr="00F668A4" w14:paraId="446ED8AA" w14:textId="77777777">
        <w:trPr>
          <w:trHeight w:val="540"/>
        </w:trPr>
        <w:tc>
          <w:tcPr>
            <w:tcW w:w="3481" w:type="dxa"/>
            <w:shd w:val="clear" w:color="auto" w:fill="F2DCDB"/>
          </w:tcPr>
          <w:p w:rsidRPr="00734220" w:rsidR="00BF64F7" w:rsidP="5D1D556F" w:rsidRDefault="3CE21286" w14:paraId="70CE2EBF" w14:textId="77777777">
            <w:pPr>
              <w:pStyle w:val="TableParagraph"/>
              <w:rPr>
                <w:b/>
                <w:bCs/>
                <w:sz w:val="24"/>
                <w:szCs w:val="24"/>
              </w:rPr>
            </w:pPr>
            <w:r w:rsidRPr="5D1D556F">
              <w:rPr>
                <w:sz w:val="24"/>
                <w:szCs w:val="24"/>
              </w:rPr>
              <w:t>Type of Material</w:t>
            </w:r>
          </w:p>
          <w:p w:rsidRPr="00734220" w:rsidR="00BF64F7" w:rsidP="5D1D556F" w:rsidRDefault="3CE21286" w14:paraId="30E43CB7" w14:textId="77777777">
            <w:pPr>
              <w:pStyle w:val="TableParagraph"/>
              <w:rPr>
                <w:b/>
                <w:bCs/>
                <w:sz w:val="24"/>
                <w:szCs w:val="24"/>
              </w:rPr>
            </w:pPr>
            <w:r w:rsidRPr="5D1D556F">
              <w:rPr>
                <w:sz w:val="24"/>
                <w:szCs w:val="24"/>
              </w:rPr>
              <w:t xml:space="preserve">Miscellaneous </w:t>
            </w:r>
          </w:p>
        </w:tc>
        <w:tc>
          <w:tcPr>
            <w:tcW w:w="3474" w:type="dxa"/>
            <w:gridSpan w:val="3"/>
            <w:shd w:val="clear" w:color="auto" w:fill="F2DCDB"/>
          </w:tcPr>
          <w:p w:rsidRPr="00734220" w:rsidR="00BF64F7" w:rsidP="5D1D556F" w:rsidRDefault="3CE21286" w14:paraId="3EFA1578" w14:textId="77777777">
            <w:pPr>
              <w:pStyle w:val="TableParagraph"/>
              <w:rPr>
                <w:b/>
                <w:bCs/>
                <w:sz w:val="24"/>
                <w:szCs w:val="24"/>
              </w:rPr>
            </w:pPr>
            <w:r w:rsidRPr="5D1D556F">
              <w:rPr>
                <w:sz w:val="24"/>
                <w:szCs w:val="24"/>
              </w:rPr>
              <w:t>Minimum Retention Period</w:t>
            </w:r>
          </w:p>
        </w:tc>
        <w:tc>
          <w:tcPr>
            <w:tcW w:w="2821" w:type="dxa"/>
            <w:gridSpan w:val="2"/>
            <w:shd w:val="clear" w:color="auto" w:fill="F2DCDB"/>
          </w:tcPr>
          <w:p w:rsidRPr="00734220" w:rsidR="00BF64F7" w:rsidP="5D1D556F" w:rsidRDefault="3CE21286" w14:paraId="1B166008" w14:textId="77777777">
            <w:pPr>
              <w:pStyle w:val="TableParagraph"/>
              <w:rPr>
                <w:b/>
                <w:bCs/>
                <w:sz w:val="24"/>
                <w:szCs w:val="24"/>
              </w:rPr>
            </w:pPr>
            <w:r w:rsidRPr="5D1D556F">
              <w:rPr>
                <w:sz w:val="24"/>
                <w:szCs w:val="24"/>
              </w:rPr>
              <w:t>Reason</w:t>
            </w:r>
          </w:p>
        </w:tc>
      </w:tr>
      <w:tr w:rsidRPr="00734220" w:rsidR="00BF64F7" w:rsidTr="00F668A4" w14:paraId="0F25D89D" w14:textId="77777777">
        <w:tc>
          <w:tcPr>
            <w:tcW w:w="3481" w:type="dxa"/>
          </w:tcPr>
          <w:p w:rsidRPr="00734220" w:rsidR="00BF64F7" w:rsidP="5D1D556F" w:rsidRDefault="3CE21286" w14:paraId="6B7ACFB7" w14:textId="77777777">
            <w:pPr>
              <w:pStyle w:val="TableParagraph"/>
              <w:rPr>
                <w:sz w:val="24"/>
                <w:szCs w:val="24"/>
              </w:rPr>
            </w:pPr>
            <w:r w:rsidRPr="5D1D556F">
              <w:rPr>
                <w:sz w:val="24"/>
                <w:szCs w:val="24"/>
              </w:rPr>
              <w:t>Confidentiality and non-competition agreements (if a penalty is attached to the non-competition or confidentiality clause</w:t>
            </w:r>
          </w:p>
        </w:tc>
        <w:tc>
          <w:tcPr>
            <w:tcW w:w="3474" w:type="dxa"/>
            <w:gridSpan w:val="3"/>
          </w:tcPr>
          <w:p w:rsidRPr="00734220" w:rsidR="00BF64F7" w:rsidP="5D1D556F" w:rsidRDefault="3CE21286" w14:paraId="617F9724" w14:textId="7F616623">
            <w:pPr>
              <w:pStyle w:val="TableParagraph"/>
              <w:rPr>
                <w:sz w:val="24"/>
                <w:szCs w:val="24"/>
              </w:rPr>
            </w:pPr>
            <w:r w:rsidRPr="5D1D556F">
              <w:rPr>
                <w:sz w:val="24"/>
                <w:szCs w:val="24"/>
              </w:rPr>
              <w:t xml:space="preserve">Minimum for </w:t>
            </w:r>
            <w:r w:rsidRPr="5D1D556F" w:rsidR="198F5006">
              <w:rPr>
                <w:sz w:val="24"/>
                <w:szCs w:val="24"/>
              </w:rPr>
              <w:t xml:space="preserve">the </w:t>
            </w:r>
            <w:r w:rsidRPr="5D1D556F">
              <w:rPr>
                <w:sz w:val="24"/>
                <w:szCs w:val="24"/>
              </w:rPr>
              <w:t>length of contract or agreement, but 6 years after contract expires.</w:t>
            </w:r>
          </w:p>
        </w:tc>
        <w:tc>
          <w:tcPr>
            <w:tcW w:w="2821" w:type="dxa"/>
            <w:gridSpan w:val="2"/>
          </w:tcPr>
          <w:p w:rsidRPr="00734220" w:rsidR="00BF64F7" w:rsidP="5D1D556F" w:rsidRDefault="3CE21286" w14:paraId="76D61D10" w14:textId="77777777">
            <w:pPr>
              <w:pStyle w:val="TableParagraph"/>
              <w:rPr>
                <w:sz w:val="24"/>
                <w:szCs w:val="24"/>
              </w:rPr>
            </w:pPr>
            <w:r w:rsidRPr="5D1D556F">
              <w:rPr>
                <w:sz w:val="24"/>
                <w:szCs w:val="24"/>
              </w:rPr>
              <w:t>Section 5 Limitation Act 1980</w:t>
            </w:r>
          </w:p>
        </w:tc>
      </w:tr>
      <w:tr w:rsidRPr="00734220" w:rsidR="00BF64F7" w:rsidTr="00F668A4" w14:paraId="284906AF" w14:textId="77777777">
        <w:tc>
          <w:tcPr>
            <w:tcW w:w="3481" w:type="dxa"/>
          </w:tcPr>
          <w:p w:rsidRPr="00734220" w:rsidR="00BF64F7" w:rsidP="5D1D556F" w:rsidRDefault="3CE21286" w14:paraId="39F3C4CB" w14:textId="77777777">
            <w:pPr>
              <w:pStyle w:val="TableParagraph"/>
              <w:rPr>
                <w:sz w:val="24"/>
                <w:szCs w:val="24"/>
              </w:rPr>
            </w:pPr>
            <w:r w:rsidRPr="5D1D556F">
              <w:rPr>
                <w:sz w:val="24"/>
                <w:szCs w:val="24"/>
              </w:rPr>
              <w:t>Intellectual property records</w:t>
            </w:r>
          </w:p>
        </w:tc>
        <w:tc>
          <w:tcPr>
            <w:tcW w:w="3474" w:type="dxa"/>
            <w:gridSpan w:val="3"/>
          </w:tcPr>
          <w:p w:rsidRPr="00734220" w:rsidR="00BF64F7" w:rsidP="5D1D556F" w:rsidRDefault="198F5006" w14:paraId="57D17DB4" w14:textId="20222D05">
            <w:pPr>
              <w:pStyle w:val="TableParagraph"/>
              <w:rPr>
                <w:sz w:val="24"/>
                <w:szCs w:val="24"/>
              </w:rPr>
            </w:pPr>
            <w:r w:rsidRPr="5D1D556F">
              <w:rPr>
                <w:sz w:val="24"/>
                <w:szCs w:val="24"/>
              </w:rPr>
              <w:t>The recommendation</w:t>
            </w:r>
            <w:r w:rsidRPr="5D1D556F" w:rsidR="3CE21286">
              <w:rPr>
                <w:sz w:val="24"/>
                <w:szCs w:val="24"/>
              </w:rPr>
              <w:t xml:space="preserve"> is </w:t>
            </w:r>
            <w:r w:rsidRPr="5D1D556F">
              <w:rPr>
                <w:sz w:val="24"/>
                <w:szCs w:val="24"/>
              </w:rPr>
              <w:t xml:space="preserve">to </w:t>
            </w:r>
            <w:r w:rsidRPr="5D1D556F" w:rsidR="3CE21286">
              <w:rPr>
                <w:sz w:val="24"/>
                <w:szCs w:val="24"/>
              </w:rPr>
              <w:t>retain documents for the life of the intellectual property and 6 years after</w:t>
            </w:r>
          </w:p>
        </w:tc>
        <w:tc>
          <w:tcPr>
            <w:tcW w:w="2821" w:type="dxa"/>
            <w:gridSpan w:val="2"/>
          </w:tcPr>
          <w:p w:rsidR="00390A8B" w:rsidP="5D1D556F" w:rsidRDefault="00390A8B" w14:paraId="176FA0F1" w14:textId="77777777">
            <w:pPr>
              <w:pStyle w:val="TableParagraph"/>
              <w:rPr>
                <w:sz w:val="24"/>
                <w:szCs w:val="24"/>
              </w:rPr>
            </w:pPr>
          </w:p>
          <w:p w:rsidRPr="00734220" w:rsidR="00BF64F7" w:rsidP="5D1D556F" w:rsidRDefault="3CE21286" w14:paraId="461B81A2" w14:textId="01B1A766">
            <w:pPr>
              <w:pStyle w:val="TableParagraph"/>
              <w:rPr>
                <w:sz w:val="24"/>
                <w:szCs w:val="24"/>
              </w:rPr>
            </w:pPr>
            <w:r w:rsidRPr="5D1D556F">
              <w:rPr>
                <w:sz w:val="24"/>
                <w:szCs w:val="24"/>
              </w:rPr>
              <w:t>Section 5 Limitation Act 1980</w:t>
            </w:r>
          </w:p>
        </w:tc>
      </w:tr>
      <w:tr w:rsidRPr="00734220" w:rsidR="00BF64F7" w:rsidTr="00F668A4" w14:paraId="73BE195A" w14:textId="77777777">
        <w:trPr>
          <w:trHeight w:val="960"/>
        </w:trPr>
        <w:tc>
          <w:tcPr>
            <w:tcW w:w="3481" w:type="dxa"/>
          </w:tcPr>
          <w:p w:rsidRPr="00734220" w:rsidR="00BF64F7" w:rsidP="098D6404" w:rsidRDefault="036FB3EB" w14:paraId="672A83D2" w14:textId="683A81AB">
            <w:pPr>
              <w:pStyle w:val="TableParagraph"/>
              <w:rPr>
                <w:rFonts w:asciiTheme="minorHAnsi" w:hAnsiTheme="minorHAnsi" w:eastAsiaTheme="minorEastAsia" w:cstheme="minorBidi"/>
                <w:color w:val="000000" w:themeColor="text1"/>
                <w:sz w:val="24"/>
                <w:szCs w:val="24"/>
              </w:rPr>
            </w:pPr>
            <w:r w:rsidRPr="098D6404">
              <w:rPr>
                <w:rFonts w:asciiTheme="minorHAnsi" w:hAnsiTheme="minorHAnsi" w:eastAsiaTheme="minorEastAsia" w:cstheme="minorBidi"/>
                <w:color w:val="000000" w:themeColor="text1"/>
                <w:sz w:val="24"/>
                <w:szCs w:val="24"/>
              </w:rPr>
              <w:lastRenderedPageBreak/>
              <w:t>Complaints Process</w:t>
            </w:r>
          </w:p>
        </w:tc>
        <w:tc>
          <w:tcPr>
            <w:tcW w:w="3474" w:type="dxa"/>
            <w:gridSpan w:val="3"/>
          </w:tcPr>
          <w:p w:rsidRPr="00734220" w:rsidR="00BF64F7" w:rsidP="098D6404" w:rsidRDefault="036FB3EB" w14:paraId="2EE2637D" w14:textId="59FF34B6">
            <w:pPr>
              <w:pStyle w:val="TableParagraph"/>
              <w:rPr>
                <w:rFonts w:asciiTheme="minorHAnsi" w:hAnsiTheme="minorHAnsi" w:eastAsiaTheme="minorEastAsia" w:cstheme="minorBidi"/>
                <w:color w:val="000000" w:themeColor="text1"/>
                <w:sz w:val="24"/>
                <w:szCs w:val="24"/>
              </w:rPr>
            </w:pPr>
            <w:r w:rsidRPr="098D6404">
              <w:rPr>
                <w:rFonts w:asciiTheme="minorHAnsi" w:hAnsiTheme="minorHAnsi" w:eastAsiaTheme="minorEastAsia" w:cstheme="minorBidi"/>
                <w:color w:val="000000" w:themeColor="text1"/>
                <w:sz w:val="24"/>
                <w:szCs w:val="24"/>
              </w:rPr>
              <w:t>6 years from the final recorded communication from the complainant about the complaint.</w:t>
            </w:r>
          </w:p>
        </w:tc>
        <w:tc>
          <w:tcPr>
            <w:tcW w:w="2821" w:type="dxa"/>
            <w:gridSpan w:val="2"/>
          </w:tcPr>
          <w:p w:rsidRPr="00734220" w:rsidR="00BF64F7" w:rsidP="098D6404" w:rsidRDefault="036FB3EB" w14:paraId="3E0F8069" w14:textId="0069AFB1">
            <w:pPr>
              <w:pStyle w:val="TableParagraph"/>
              <w:rPr>
                <w:rFonts w:asciiTheme="minorHAnsi" w:hAnsiTheme="minorHAnsi" w:eastAsiaTheme="minorEastAsia" w:cstheme="minorBidi"/>
                <w:color w:val="000000" w:themeColor="text1"/>
                <w:sz w:val="24"/>
                <w:szCs w:val="24"/>
              </w:rPr>
            </w:pPr>
            <w:r w:rsidRPr="098D6404">
              <w:rPr>
                <w:rFonts w:asciiTheme="minorHAnsi" w:hAnsiTheme="minorHAnsi" w:eastAsiaTheme="minorEastAsia" w:cstheme="minorBidi"/>
                <w:color w:val="000000" w:themeColor="text1"/>
                <w:sz w:val="24"/>
                <w:szCs w:val="24"/>
              </w:rPr>
              <w:t>Required as part of the Limitation Act 1980</w:t>
            </w:r>
          </w:p>
        </w:tc>
      </w:tr>
      <w:tr w:rsidR="098D6404" w:rsidTr="00F668A4" w14:paraId="054A0201" w14:textId="77777777">
        <w:trPr>
          <w:trHeight w:val="960"/>
        </w:trPr>
        <w:tc>
          <w:tcPr>
            <w:tcW w:w="3481" w:type="dxa"/>
          </w:tcPr>
          <w:p w:rsidR="036FB3EB" w:rsidP="098D6404" w:rsidRDefault="036FB3EB" w14:paraId="70FA4849" w14:textId="27FDB5F8">
            <w:pPr>
              <w:pStyle w:val="TableParagraph"/>
              <w:rPr>
                <w:rFonts w:asciiTheme="minorHAnsi" w:hAnsiTheme="minorHAnsi" w:eastAsiaTheme="minorEastAsia" w:cstheme="minorBidi"/>
                <w:color w:val="000000" w:themeColor="text1"/>
                <w:sz w:val="24"/>
                <w:szCs w:val="24"/>
              </w:rPr>
            </w:pPr>
            <w:r w:rsidRPr="098D6404">
              <w:rPr>
                <w:rFonts w:asciiTheme="minorHAnsi" w:hAnsiTheme="minorHAnsi" w:eastAsiaTheme="minorEastAsia" w:cstheme="minorBidi"/>
                <w:color w:val="000000" w:themeColor="text1"/>
                <w:sz w:val="24"/>
                <w:szCs w:val="24"/>
              </w:rPr>
              <w:t>Whistleblowing Process</w:t>
            </w:r>
          </w:p>
        </w:tc>
        <w:tc>
          <w:tcPr>
            <w:tcW w:w="3474" w:type="dxa"/>
            <w:gridSpan w:val="3"/>
          </w:tcPr>
          <w:p w:rsidR="036FB3EB" w:rsidP="098D6404" w:rsidRDefault="036FB3EB" w14:paraId="0A69BC4C" w14:textId="142F47A5">
            <w:pPr>
              <w:pStyle w:val="TableParagraph"/>
              <w:rPr>
                <w:rFonts w:asciiTheme="minorHAnsi" w:hAnsiTheme="minorHAnsi" w:eastAsiaTheme="minorEastAsia" w:cstheme="minorBidi"/>
                <w:color w:val="000000" w:themeColor="text1"/>
                <w:sz w:val="24"/>
                <w:szCs w:val="24"/>
              </w:rPr>
            </w:pPr>
            <w:r w:rsidRPr="098D6404">
              <w:rPr>
                <w:rFonts w:asciiTheme="minorHAnsi" w:hAnsiTheme="minorHAnsi" w:eastAsiaTheme="minorEastAsia" w:cstheme="minorBidi"/>
                <w:color w:val="000000" w:themeColor="text1"/>
                <w:sz w:val="24"/>
                <w:szCs w:val="24"/>
              </w:rPr>
              <w:t>6 years from the final recorded communication from the person raising the issue about the case. Where a case is raised anonymously, 6 years from the date the case is concluded.</w:t>
            </w:r>
          </w:p>
        </w:tc>
        <w:tc>
          <w:tcPr>
            <w:tcW w:w="2821" w:type="dxa"/>
            <w:gridSpan w:val="2"/>
          </w:tcPr>
          <w:p w:rsidR="036FB3EB" w:rsidP="098D6404" w:rsidRDefault="036FB3EB" w14:paraId="428CD681" w14:textId="59538ADA">
            <w:pPr>
              <w:pStyle w:val="TableParagraph"/>
              <w:rPr>
                <w:rFonts w:asciiTheme="minorHAnsi" w:hAnsiTheme="minorHAnsi" w:eastAsiaTheme="minorEastAsia" w:cstheme="minorBidi"/>
                <w:color w:val="000000" w:themeColor="text1"/>
                <w:sz w:val="24"/>
                <w:szCs w:val="24"/>
              </w:rPr>
            </w:pPr>
            <w:r w:rsidRPr="098D6404">
              <w:rPr>
                <w:rFonts w:asciiTheme="minorHAnsi" w:hAnsiTheme="minorHAnsi" w:eastAsiaTheme="minorEastAsia" w:cstheme="minorBidi"/>
                <w:color w:val="000000" w:themeColor="text1"/>
                <w:sz w:val="24"/>
                <w:szCs w:val="24"/>
              </w:rPr>
              <w:t>Required as part of the Limitation Act 1980</w:t>
            </w:r>
          </w:p>
        </w:tc>
      </w:tr>
      <w:tr w:rsidR="098D6404" w:rsidTr="00F668A4" w14:paraId="6540DADE" w14:textId="77777777">
        <w:trPr>
          <w:trHeight w:val="960"/>
        </w:trPr>
        <w:tc>
          <w:tcPr>
            <w:tcW w:w="3481" w:type="dxa"/>
          </w:tcPr>
          <w:p w:rsidR="4BE19848" w:rsidP="098D6404" w:rsidRDefault="4BE19848" w14:paraId="0257947A" w14:textId="4C5DDACD">
            <w:pPr>
              <w:pStyle w:val="TableParagraph"/>
              <w:rPr>
                <w:rFonts w:asciiTheme="minorHAnsi" w:hAnsiTheme="minorHAnsi" w:eastAsiaTheme="minorEastAsia" w:cstheme="minorBidi"/>
                <w:color w:val="000000" w:themeColor="text1"/>
                <w:sz w:val="24"/>
                <w:szCs w:val="24"/>
              </w:rPr>
            </w:pPr>
            <w:r w:rsidRPr="098D6404">
              <w:rPr>
                <w:rFonts w:asciiTheme="minorHAnsi" w:hAnsiTheme="minorHAnsi" w:eastAsiaTheme="minorEastAsia" w:cstheme="minorBidi"/>
                <w:color w:val="000000" w:themeColor="text1"/>
                <w:sz w:val="24"/>
                <w:szCs w:val="24"/>
              </w:rPr>
              <w:t>Data Protection Impact Assessments</w:t>
            </w:r>
          </w:p>
        </w:tc>
        <w:tc>
          <w:tcPr>
            <w:tcW w:w="3474" w:type="dxa"/>
            <w:gridSpan w:val="3"/>
          </w:tcPr>
          <w:p w:rsidR="4BE19848" w:rsidP="098D6404" w:rsidRDefault="4BE19848" w14:paraId="302D404E" w14:textId="6684C053">
            <w:pPr>
              <w:pStyle w:val="TableParagraph"/>
              <w:rPr>
                <w:rFonts w:asciiTheme="minorHAnsi" w:hAnsiTheme="minorHAnsi" w:eastAsiaTheme="minorEastAsia" w:cstheme="minorBidi"/>
                <w:color w:val="000000" w:themeColor="text1"/>
                <w:sz w:val="24"/>
                <w:szCs w:val="24"/>
              </w:rPr>
            </w:pPr>
            <w:r w:rsidRPr="098D6404">
              <w:rPr>
                <w:rFonts w:asciiTheme="minorHAnsi" w:hAnsiTheme="minorHAnsi" w:eastAsiaTheme="minorEastAsia" w:cstheme="minorBidi"/>
                <w:color w:val="000000" w:themeColor="text1"/>
                <w:sz w:val="24"/>
                <w:szCs w:val="24"/>
              </w:rPr>
              <w:t>6 years</w:t>
            </w:r>
          </w:p>
        </w:tc>
        <w:tc>
          <w:tcPr>
            <w:tcW w:w="2821" w:type="dxa"/>
            <w:gridSpan w:val="2"/>
          </w:tcPr>
          <w:p w:rsidR="4BE19848" w:rsidP="098D6404" w:rsidRDefault="4BE19848" w14:paraId="4EB1C137" w14:textId="1600CE7B">
            <w:pPr>
              <w:pStyle w:val="TableParagraph"/>
              <w:rPr>
                <w:rFonts w:asciiTheme="minorHAnsi" w:hAnsiTheme="minorHAnsi" w:eastAsiaTheme="minorEastAsia" w:cstheme="minorBidi"/>
                <w:color w:val="000000" w:themeColor="text1"/>
                <w:sz w:val="24"/>
                <w:szCs w:val="24"/>
              </w:rPr>
            </w:pPr>
            <w:r w:rsidRPr="098D6404">
              <w:rPr>
                <w:rFonts w:asciiTheme="minorHAnsi" w:hAnsiTheme="minorHAnsi" w:eastAsiaTheme="minorEastAsia" w:cstheme="minorBidi"/>
                <w:color w:val="000000" w:themeColor="text1"/>
                <w:sz w:val="24"/>
                <w:szCs w:val="24"/>
              </w:rPr>
              <w:t>Company Policy</w:t>
            </w:r>
          </w:p>
        </w:tc>
      </w:tr>
      <w:tr w:rsidR="1F88E0EA" w:rsidTr="00F668A4" w14:paraId="702EF823" w14:textId="77777777">
        <w:trPr>
          <w:gridAfter w:val="1"/>
          <w:wAfter w:w="24" w:type="dxa"/>
          <w:trHeight w:val="300"/>
        </w:trPr>
        <w:tc>
          <w:tcPr>
            <w:tcW w:w="3539" w:type="dxa"/>
            <w:gridSpan w:val="2"/>
          </w:tcPr>
          <w:p w:rsidRPr="00F0431D" w:rsidR="1F88E0EA" w:rsidP="5D1D556F" w:rsidRDefault="2D184052" w14:paraId="6A0DFA7D" w14:textId="5AE91F4C">
            <w:pPr>
              <w:pStyle w:val="TableParagraph"/>
              <w:rPr>
                <w:rFonts w:asciiTheme="minorHAnsi" w:hAnsiTheme="minorHAnsi" w:eastAsiaTheme="minorEastAsia" w:cstheme="minorBidi"/>
                <w:color w:val="000000" w:themeColor="text1"/>
                <w:sz w:val="24"/>
                <w:szCs w:val="24"/>
              </w:rPr>
            </w:pPr>
            <w:r w:rsidRPr="00F0431D">
              <w:rPr>
                <w:rFonts w:asciiTheme="minorHAnsi" w:hAnsiTheme="minorHAnsi" w:eastAsiaTheme="minorEastAsia" w:cstheme="minorBidi"/>
                <w:color w:val="000000" w:themeColor="text1"/>
                <w:sz w:val="24"/>
                <w:szCs w:val="24"/>
              </w:rPr>
              <w:t>WhatsApp/buddy groups internal messaging</w:t>
            </w:r>
          </w:p>
        </w:tc>
        <w:tc>
          <w:tcPr>
            <w:tcW w:w="3402" w:type="dxa"/>
          </w:tcPr>
          <w:p w:rsidRPr="00F0431D" w:rsidR="1F88E0EA" w:rsidP="5D1D556F" w:rsidRDefault="2D184052" w14:paraId="32FEC974" w14:textId="01988B9C">
            <w:pPr>
              <w:pStyle w:val="TableParagraph"/>
              <w:rPr>
                <w:rFonts w:asciiTheme="minorHAnsi" w:hAnsiTheme="minorHAnsi" w:eastAsiaTheme="minorEastAsia" w:cstheme="minorBidi"/>
                <w:color w:val="000000" w:themeColor="text1"/>
                <w:sz w:val="24"/>
                <w:szCs w:val="24"/>
              </w:rPr>
            </w:pPr>
            <w:r w:rsidRPr="00F0431D">
              <w:rPr>
                <w:rFonts w:asciiTheme="minorHAnsi" w:hAnsiTheme="minorHAnsi" w:eastAsiaTheme="minorEastAsia" w:cstheme="minorBidi"/>
                <w:color w:val="000000" w:themeColor="text1"/>
                <w:sz w:val="24"/>
                <w:szCs w:val="24"/>
              </w:rPr>
              <w:t>Chat data is cleared every 90 days</w:t>
            </w:r>
          </w:p>
        </w:tc>
        <w:tc>
          <w:tcPr>
            <w:tcW w:w="2811" w:type="dxa"/>
            <w:gridSpan w:val="2"/>
          </w:tcPr>
          <w:p w:rsidRPr="00F0431D" w:rsidR="1F88E0EA" w:rsidP="5D1D556F" w:rsidRDefault="57A632EF" w14:paraId="0BCD582A" w14:textId="4FDDD8AE">
            <w:pPr>
              <w:pStyle w:val="TableParagraph"/>
              <w:rPr>
                <w:rFonts w:asciiTheme="minorHAnsi" w:hAnsiTheme="minorHAnsi" w:eastAsiaTheme="minorEastAsia" w:cstheme="minorBidi"/>
                <w:color w:val="000000" w:themeColor="text1"/>
                <w:sz w:val="24"/>
                <w:szCs w:val="24"/>
              </w:rPr>
            </w:pPr>
            <w:r w:rsidRPr="00F0431D">
              <w:rPr>
                <w:rFonts w:asciiTheme="minorHAnsi" w:hAnsiTheme="minorHAnsi" w:eastAsiaTheme="minorEastAsia" w:cstheme="minorBidi"/>
                <w:color w:val="000000" w:themeColor="text1"/>
                <w:sz w:val="24"/>
                <w:szCs w:val="24"/>
              </w:rPr>
              <w:t>Company Policy</w:t>
            </w:r>
          </w:p>
        </w:tc>
      </w:tr>
      <w:tr w:rsidR="00C924B1" w:rsidTr="00F668A4" w14:paraId="1A0BFA43" w14:textId="77777777">
        <w:trPr>
          <w:gridAfter w:val="1"/>
          <w:wAfter w:w="24" w:type="dxa"/>
          <w:trHeight w:val="300"/>
        </w:trPr>
        <w:tc>
          <w:tcPr>
            <w:tcW w:w="3539" w:type="dxa"/>
            <w:gridSpan w:val="2"/>
            <w:shd w:val="clear" w:color="auto" w:fill="auto"/>
          </w:tcPr>
          <w:p w:rsidRPr="00F0431D" w:rsidR="00C924B1" w:rsidP="00C924B1" w:rsidRDefault="00C924B1" w14:paraId="57D7B3A7" w14:textId="35CEB9E1">
            <w:pPr>
              <w:pStyle w:val="TableParagraph"/>
              <w:rPr>
                <w:rFonts w:asciiTheme="minorHAnsi" w:hAnsiTheme="minorHAnsi" w:eastAsiaTheme="minorEastAsia" w:cstheme="minorBidi"/>
                <w:color w:val="000000" w:themeColor="text1"/>
                <w:sz w:val="24"/>
                <w:szCs w:val="24"/>
              </w:rPr>
            </w:pPr>
            <w:r w:rsidRPr="00F0431D">
              <w:rPr>
                <w:rFonts w:asciiTheme="minorHAnsi" w:hAnsiTheme="minorHAnsi" w:eastAsiaTheme="minorEastAsia" w:cstheme="minorBidi"/>
                <w:color w:val="000000" w:themeColor="text1"/>
                <w:sz w:val="24"/>
                <w:szCs w:val="24"/>
              </w:rPr>
              <w:t xml:space="preserve">Breach Reporting </w:t>
            </w:r>
          </w:p>
        </w:tc>
        <w:tc>
          <w:tcPr>
            <w:tcW w:w="3402" w:type="dxa"/>
            <w:shd w:val="clear" w:color="auto" w:fill="auto"/>
          </w:tcPr>
          <w:p w:rsidRPr="00F0431D" w:rsidR="00C924B1" w:rsidP="00C924B1" w:rsidRDefault="00C924B1" w14:paraId="167F6120" w14:textId="22B5DA1D">
            <w:pPr>
              <w:pStyle w:val="TableParagraph"/>
              <w:rPr>
                <w:rFonts w:asciiTheme="minorHAnsi" w:hAnsiTheme="minorHAnsi" w:eastAsiaTheme="minorEastAsia" w:cstheme="minorBidi"/>
                <w:color w:val="000000" w:themeColor="text1"/>
                <w:sz w:val="24"/>
                <w:szCs w:val="24"/>
              </w:rPr>
            </w:pPr>
            <w:r w:rsidRPr="00F0431D">
              <w:rPr>
                <w:rFonts w:asciiTheme="minorHAnsi" w:hAnsiTheme="minorHAnsi" w:eastAsiaTheme="minorEastAsia" w:cstheme="minorBidi"/>
                <w:color w:val="000000" w:themeColor="text1"/>
                <w:sz w:val="24"/>
                <w:szCs w:val="24"/>
              </w:rPr>
              <w:t xml:space="preserve">3 years after the investigation and remedial action were completed. </w:t>
            </w:r>
          </w:p>
        </w:tc>
        <w:tc>
          <w:tcPr>
            <w:tcW w:w="2811" w:type="dxa"/>
            <w:gridSpan w:val="2"/>
            <w:shd w:val="clear" w:color="auto" w:fill="auto"/>
          </w:tcPr>
          <w:p w:rsidRPr="00F0431D" w:rsidR="00C924B1" w:rsidP="00C924B1" w:rsidRDefault="00C924B1" w14:paraId="752DAB1E" w14:textId="2774611F">
            <w:pPr>
              <w:pStyle w:val="TableParagraph"/>
              <w:tabs>
                <w:tab w:val="left" w:pos="1080"/>
              </w:tabs>
              <w:rPr>
                <w:rFonts w:asciiTheme="minorHAnsi" w:hAnsiTheme="minorHAnsi" w:eastAsiaTheme="minorEastAsia" w:cstheme="minorBidi"/>
                <w:color w:val="000000" w:themeColor="text1"/>
                <w:sz w:val="24"/>
                <w:szCs w:val="24"/>
              </w:rPr>
            </w:pPr>
            <w:r w:rsidRPr="00F0431D">
              <w:rPr>
                <w:rFonts w:asciiTheme="minorHAnsi" w:hAnsiTheme="minorHAnsi" w:eastAsiaTheme="minorEastAsia" w:cstheme="minorBidi"/>
                <w:color w:val="000000" w:themeColor="text1"/>
                <w:sz w:val="24"/>
                <w:szCs w:val="24"/>
              </w:rPr>
              <w:t>Company Policy</w:t>
            </w:r>
          </w:p>
        </w:tc>
      </w:tr>
      <w:tr w:rsidR="00C924B1" w:rsidTr="00F668A4" w14:paraId="47F68B4E" w14:textId="77777777">
        <w:trPr>
          <w:gridAfter w:val="1"/>
          <w:wAfter w:w="24" w:type="dxa"/>
          <w:trHeight w:val="297"/>
        </w:trPr>
        <w:tc>
          <w:tcPr>
            <w:tcW w:w="3539" w:type="dxa"/>
            <w:gridSpan w:val="2"/>
          </w:tcPr>
          <w:p w:rsidRPr="00F0431D" w:rsidR="00C924B1" w:rsidP="00C924B1" w:rsidRDefault="00C924B1" w14:paraId="4EEF72EF" w14:textId="07D7D81C">
            <w:pPr>
              <w:pStyle w:val="TableParagraph"/>
              <w:rPr>
                <w:rFonts w:asciiTheme="minorHAnsi" w:hAnsiTheme="minorHAnsi" w:eastAsiaTheme="minorEastAsia" w:cstheme="minorBidi"/>
                <w:color w:val="000000" w:themeColor="text1"/>
                <w:sz w:val="24"/>
                <w:szCs w:val="24"/>
              </w:rPr>
            </w:pPr>
            <w:r w:rsidRPr="00F0431D">
              <w:rPr>
                <w:rFonts w:asciiTheme="minorHAnsi" w:hAnsiTheme="minorHAnsi" w:eastAsiaTheme="minorEastAsia" w:cstheme="minorBidi"/>
                <w:color w:val="000000" w:themeColor="text1"/>
                <w:sz w:val="24"/>
                <w:szCs w:val="24"/>
              </w:rPr>
              <w:t>DSARs Request</w:t>
            </w:r>
          </w:p>
        </w:tc>
        <w:tc>
          <w:tcPr>
            <w:tcW w:w="3402" w:type="dxa"/>
          </w:tcPr>
          <w:p w:rsidRPr="00F0431D" w:rsidR="00C924B1" w:rsidP="00C924B1" w:rsidRDefault="00C924B1" w14:paraId="371A577A" w14:textId="0572D090">
            <w:pPr>
              <w:pStyle w:val="TableParagraph"/>
              <w:rPr>
                <w:rFonts w:asciiTheme="minorHAnsi" w:hAnsiTheme="minorHAnsi" w:eastAsiaTheme="minorEastAsia" w:cstheme="minorBidi"/>
                <w:color w:val="000000" w:themeColor="text1"/>
                <w:sz w:val="24"/>
                <w:szCs w:val="24"/>
              </w:rPr>
            </w:pPr>
            <w:r w:rsidRPr="00F0431D">
              <w:rPr>
                <w:rFonts w:asciiTheme="minorHAnsi" w:hAnsiTheme="minorHAnsi" w:eastAsiaTheme="minorEastAsia" w:cstheme="minorBidi"/>
                <w:color w:val="000000" w:themeColor="text1"/>
                <w:sz w:val="24"/>
                <w:szCs w:val="24"/>
              </w:rPr>
              <w:t xml:space="preserve">1 year after the </w:t>
            </w:r>
            <w:r w:rsidRPr="00F0431D" w:rsidR="00E94D52">
              <w:rPr>
                <w:rFonts w:asciiTheme="minorHAnsi" w:hAnsiTheme="minorHAnsi" w:eastAsiaTheme="minorEastAsia" w:cstheme="minorBidi"/>
                <w:color w:val="000000" w:themeColor="text1"/>
                <w:sz w:val="24"/>
                <w:szCs w:val="24"/>
              </w:rPr>
              <w:t>DSAR is complete.</w:t>
            </w:r>
          </w:p>
        </w:tc>
        <w:tc>
          <w:tcPr>
            <w:tcW w:w="2811" w:type="dxa"/>
            <w:gridSpan w:val="2"/>
          </w:tcPr>
          <w:p w:rsidRPr="00F0431D" w:rsidR="00C924B1" w:rsidP="00C924B1" w:rsidRDefault="00C924B1" w14:paraId="7BFDF2DB" w14:textId="5D5D94C3">
            <w:pPr>
              <w:pStyle w:val="TableParagraph"/>
              <w:rPr>
                <w:rFonts w:asciiTheme="minorHAnsi" w:hAnsiTheme="minorHAnsi" w:eastAsiaTheme="minorEastAsia" w:cstheme="minorBidi"/>
                <w:color w:val="000000" w:themeColor="text1"/>
                <w:sz w:val="24"/>
                <w:szCs w:val="24"/>
              </w:rPr>
            </w:pPr>
            <w:r w:rsidRPr="00F0431D">
              <w:rPr>
                <w:rFonts w:asciiTheme="minorHAnsi" w:hAnsiTheme="minorHAnsi" w:eastAsiaTheme="minorEastAsia" w:cstheme="minorBidi"/>
                <w:color w:val="000000" w:themeColor="text1"/>
                <w:sz w:val="24"/>
                <w:szCs w:val="24"/>
              </w:rPr>
              <w:t>Company Policy</w:t>
            </w:r>
          </w:p>
        </w:tc>
      </w:tr>
      <w:tr w:rsidR="00C924B1" w:rsidTr="00F668A4" w14:paraId="3801C999" w14:textId="77777777">
        <w:trPr>
          <w:gridAfter w:val="1"/>
          <w:wAfter w:w="24" w:type="dxa"/>
          <w:trHeight w:val="460"/>
        </w:trPr>
        <w:tc>
          <w:tcPr>
            <w:tcW w:w="3539" w:type="dxa"/>
            <w:gridSpan w:val="2"/>
          </w:tcPr>
          <w:p w:rsidRPr="00F0431D" w:rsidR="00C924B1" w:rsidP="00F0431D" w:rsidRDefault="00C924B1" w14:paraId="5987E322" w14:textId="70CED4EC">
            <w:pPr>
              <w:pStyle w:val="TableParagraph"/>
              <w:rPr>
                <w:rFonts w:asciiTheme="minorHAnsi" w:hAnsiTheme="minorHAnsi" w:eastAsiaTheme="minorEastAsia" w:cstheme="minorBidi"/>
                <w:color w:val="000000" w:themeColor="text1"/>
                <w:sz w:val="24"/>
                <w:szCs w:val="24"/>
              </w:rPr>
            </w:pPr>
            <w:r w:rsidRPr="00F0431D">
              <w:rPr>
                <w:rFonts w:asciiTheme="minorHAnsi" w:hAnsiTheme="minorHAnsi" w:eastAsiaTheme="minorEastAsia" w:cstheme="minorBidi"/>
                <w:color w:val="000000" w:themeColor="text1"/>
                <w:sz w:val="24"/>
                <w:szCs w:val="24"/>
              </w:rPr>
              <w:t>Finance Internal emails</w:t>
            </w:r>
          </w:p>
        </w:tc>
        <w:tc>
          <w:tcPr>
            <w:tcW w:w="3402" w:type="dxa"/>
          </w:tcPr>
          <w:p w:rsidRPr="00F0431D" w:rsidR="00C924B1" w:rsidP="00F0431D" w:rsidRDefault="00C924B1" w14:paraId="1AAA68CF" w14:textId="42239A81">
            <w:pPr>
              <w:pStyle w:val="TableParagraph"/>
              <w:rPr>
                <w:rFonts w:asciiTheme="minorHAnsi" w:hAnsiTheme="minorHAnsi" w:eastAsiaTheme="minorEastAsia" w:cstheme="minorBidi"/>
                <w:color w:val="000000" w:themeColor="text1"/>
                <w:sz w:val="24"/>
                <w:szCs w:val="24"/>
              </w:rPr>
            </w:pPr>
            <w:r w:rsidRPr="00F0431D">
              <w:rPr>
                <w:rFonts w:asciiTheme="minorHAnsi" w:hAnsiTheme="minorHAnsi" w:eastAsiaTheme="minorEastAsia" w:cstheme="minorBidi"/>
                <w:color w:val="000000" w:themeColor="text1"/>
                <w:sz w:val="24"/>
                <w:szCs w:val="24"/>
              </w:rPr>
              <w:t>Financial Year + 3 Months</w:t>
            </w:r>
          </w:p>
        </w:tc>
        <w:tc>
          <w:tcPr>
            <w:tcW w:w="2811" w:type="dxa"/>
            <w:gridSpan w:val="2"/>
          </w:tcPr>
          <w:p w:rsidRPr="00F0431D" w:rsidR="00C924B1" w:rsidP="00F0431D" w:rsidRDefault="00C924B1" w14:paraId="488F3ECA" w14:textId="13693B99">
            <w:pPr>
              <w:pStyle w:val="TableParagraph"/>
              <w:rPr>
                <w:rFonts w:asciiTheme="minorHAnsi" w:hAnsiTheme="minorHAnsi" w:eastAsiaTheme="minorEastAsia" w:cstheme="minorBidi"/>
                <w:color w:val="000000" w:themeColor="text1"/>
                <w:sz w:val="24"/>
                <w:szCs w:val="24"/>
              </w:rPr>
            </w:pPr>
            <w:r w:rsidRPr="00F0431D">
              <w:rPr>
                <w:rFonts w:asciiTheme="minorHAnsi" w:hAnsiTheme="minorHAnsi" w:eastAsiaTheme="minorEastAsia" w:cstheme="minorBidi"/>
                <w:color w:val="000000" w:themeColor="text1"/>
                <w:sz w:val="24"/>
                <w:szCs w:val="24"/>
              </w:rPr>
              <w:t>Company Policy</w:t>
            </w:r>
          </w:p>
        </w:tc>
      </w:tr>
      <w:tr w:rsidR="00E94D52" w:rsidTr="00F668A4" w14:paraId="0E27E7C2" w14:textId="77777777">
        <w:trPr>
          <w:gridAfter w:val="1"/>
          <w:wAfter w:w="24" w:type="dxa"/>
          <w:trHeight w:val="960"/>
        </w:trPr>
        <w:tc>
          <w:tcPr>
            <w:tcW w:w="3539" w:type="dxa"/>
            <w:gridSpan w:val="2"/>
            <w:vAlign w:val="bottom"/>
          </w:tcPr>
          <w:p w:rsidRPr="00F0431D" w:rsidR="00E94D52" w:rsidP="00F0431D" w:rsidRDefault="4FEF0DD9" w14:paraId="0D7821C1" w14:textId="4A081491">
            <w:pPr>
              <w:pStyle w:val="TableParagraph"/>
              <w:rPr>
                <w:rFonts w:asciiTheme="minorHAnsi" w:hAnsiTheme="minorHAnsi" w:eastAsiaTheme="minorEastAsia" w:cstheme="minorBidi"/>
                <w:color w:val="000000" w:themeColor="text1"/>
                <w:sz w:val="24"/>
                <w:szCs w:val="24"/>
              </w:rPr>
            </w:pPr>
            <w:r w:rsidRPr="00F0431D">
              <w:rPr>
                <w:rFonts w:asciiTheme="minorHAnsi" w:hAnsiTheme="minorHAnsi" w:eastAsiaTheme="minorEastAsia" w:cstheme="minorBidi"/>
                <w:color w:val="000000" w:themeColor="text1"/>
                <w:sz w:val="24"/>
                <w:szCs w:val="24"/>
              </w:rPr>
              <w:t xml:space="preserve">Staff Mailboxes and </w:t>
            </w:r>
            <w:proofErr w:type="gramStart"/>
            <w:r w:rsidRPr="00F0431D">
              <w:rPr>
                <w:rFonts w:asciiTheme="minorHAnsi" w:hAnsiTheme="minorHAnsi" w:eastAsiaTheme="minorEastAsia" w:cstheme="minorBidi"/>
                <w:color w:val="000000" w:themeColor="text1"/>
                <w:sz w:val="24"/>
                <w:szCs w:val="24"/>
              </w:rPr>
              <w:t>Outlook</w:t>
            </w:r>
            <w:r w:rsidRPr="00F0431D" w:rsidR="5454237F">
              <w:rPr>
                <w:rFonts w:asciiTheme="minorHAnsi" w:hAnsiTheme="minorHAnsi" w:eastAsiaTheme="minorEastAsia" w:cstheme="minorBidi"/>
                <w:color w:val="000000" w:themeColor="text1"/>
                <w:sz w:val="24"/>
                <w:szCs w:val="24"/>
              </w:rPr>
              <w:t>(</w:t>
            </w:r>
            <w:proofErr w:type="gramEnd"/>
            <w:r w:rsidRPr="00F0431D" w:rsidR="5454237F">
              <w:rPr>
                <w:rFonts w:asciiTheme="minorHAnsi" w:hAnsiTheme="minorHAnsi" w:eastAsiaTheme="minorEastAsia" w:cstheme="minorBidi"/>
                <w:color w:val="000000" w:themeColor="text1"/>
                <w:sz w:val="24"/>
                <w:szCs w:val="24"/>
              </w:rPr>
              <w:t>inbound</w:t>
            </w:r>
            <w:r w:rsidRPr="00F0431D" w:rsidR="575544CF">
              <w:rPr>
                <w:rFonts w:asciiTheme="minorHAnsi" w:hAnsiTheme="minorHAnsi" w:eastAsiaTheme="minorEastAsia" w:cstheme="minorBidi"/>
                <w:color w:val="000000" w:themeColor="text1"/>
                <w:sz w:val="24"/>
                <w:szCs w:val="24"/>
              </w:rPr>
              <w:t xml:space="preserve"> </w:t>
            </w:r>
            <w:r w:rsidRPr="00F0431D" w:rsidR="5454237F">
              <w:rPr>
                <w:rFonts w:asciiTheme="minorHAnsi" w:hAnsiTheme="minorHAnsi" w:eastAsiaTheme="minorEastAsia" w:cstheme="minorBidi"/>
                <w:color w:val="000000" w:themeColor="text1"/>
                <w:sz w:val="24"/>
                <w:szCs w:val="24"/>
              </w:rPr>
              <w:t>and outbound emails)</w:t>
            </w:r>
          </w:p>
        </w:tc>
        <w:tc>
          <w:tcPr>
            <w:tcW w:w="3402" w:type="dxa"/>
          </w:tcPr>
          <w:p w:rsidRPr="00F0431D" w:rsidR="00E94D52" w:rsidP="00F0431D" w:rsidRDefault="391BED29" w14:paraId="7D4C30D6" w14:textId="76E88240">
            <w:pPr>
              <w:pStyle w:val="TableParagraph"/>
              <w:rPr>
                <w:rFonts w:asciiTheme="minorHAnsi" w:hAnsiTheme="minorHAnsi" w:eastAsiaTheme="minorEastAsia" w:cstheme="minorBidi"/>
                <w:color w:val="000000" w:themeColor="text1"/>
                <w:sz w:val="24"/>
                <w:szCs w:val="24"/>
              </w:rPr>
            </w:pPr>
            <w:r w:rsidRPr="00F0431D">
              <w:rPr>
                <w:rFonts w:asciiTheme="minorHAnsi" w:hAnsiTheme="minorHAnsi" w:eastAsiaTheme="minorEastAsia" w:cstheme="minorBidi"/>
                <w:color w:val="000000" w:themeColor="text1"/>
                <w:sz w:val="24"/>
                <w:szCs w:val="24"/>
              </w:rPr>
              <w:t>2 years</w:t>
            </w:r>
          </w:p>
        </w:tc>
        <w:tc>
          <w:tcPr>
            <w:tcW w:w="2811" w:type="dxa"/>
            <w:gridSpan w:val="2"/>
          </w:tcPr>
          <w:p w:rsidRPr="00F0431D" w:rsidR="00E94D52" w:rsidP="00F668A4" w:rsidRDefault="13241D7F" w14:paraId="3CFC456B" w14:textId="7874EAF6">
            <w:pPr>
              <w:pStyle w:val="TableParagraph"/>
              <w:rPr>
                <w:rFonts w:asciiTheme="minorHAnsi" w:hAnsiTheme="minorHAnsi" w:eastAsiaTheme="minorEastAsia" w:cstheme="minorBidi"/>
                <w:color w:val="000000" w:themeColor="text1"/>
                <w:sz w:val="24"/>
                <w:szCs w:val="24"/>
              </w:rPr>
            </w:pPr>
            <w:r w:rsidRPr="00F0431D">
              <w:rPr>
                <w:rFonts w:asciiTheme="minorHAnsi" w:hAnsiTheme="minorHAnsi" w:eastAsiaTheme="minorEastAsia" w:cstheme="minorBidi"/>
                <w:color w:val="000000" w:themeColor="text1"/>
                <w:sz w:val="24"/>
                <w:szCs w:val="24"/>
              </w:rPr>
              <w:t>Company Policy</w:t>
            </w:r>
          </w:p>
        </w:tc>
      </w:tr>
      <w:tr w:rsidR="4821A59D" w:rsidTr="00F668A4" w14:paraId="0A8C1CD8" w14:textId="77777777">
        <w:trPr>
          <w:gridAfter w:val="1"/>
          <w:wAfter w:w="24" w:type="dxa"/>
          <w:trHeight w:val="593"/>
        </w:trPr>
        <w:tc>
          <w:tcPr>
            <w:tcW w:w="3539" w:type="dxa"/>
            <w:gridSpan w:val="2"/>
          </w:tcPr>
          <w:p w:rsidRPr="00F0431D" w:rsidR="4FB8579C" w:rsidP="00F0431D" w:rsidRDefault="4FB8579C" w14:paraId="323A7532" w14:textId="6A74BE56">
            <w:pPr>
              <w:pStyle w:val="TableParagraph"/>
              <w:rPr>
                <w:rFonts w:asciiTheme="minorHAnsi" w:hAnsiTheme="minorHAnsi" w:eastAsiaTheme="minorEastAsia" w:cstheme="minorBidi"/>
                <w:color w:val="000000" w:themeColor="text1"/>
                <w:sz w:val="24"/>
                <w:szCs w:val="24"/>
              </w:rPr>
            </w:pPr>
            <w:r w:rsidRPr="00F0431D">
              <w:rPr>
                <w:rFonts w:asciiTheme="minorHAnsi" w:hAnsiTheme="minorHAnsi" w:eastAsiaTheme="minorEastAsia" w:cstheme="minorBidi"/>
                <w:color w:val="000000" w:themeColor="text1"/>
                <w:sz w:val="24"/>
                <w:szCs w:val="24"/>
              </w:rPr>
              <w:t>WeTransfer Files</w:t>
            </w:r>
          </w:p>
        </w:tc>
        <w:tc>
          <w:tcPr>
            <w:tcW w:w="3402" w:type="dxa"/>
          </w:tcPr>
          <w:p w:rsidRPr="00F0431D" w:rsidR="4FB8579C" w:rsidP="00F0431D" w:rsidRDefault="4FB8579C" w14:paraId="28AE4C08" w14:textId="7649E640">
            <w:pPr>
              <w:pStyle w:val="TableParagraph"/>
              <w:rPr>
                <w:rFonts w:asciiTheme="minorHAnsi" w:hAnsiTheme="minorHAnsi" w:eastAsiaTheme="minorEastAsia" w:cstheme="minorBidi"/>
                <w:color w:val="000000" w:themeColor="text1"/>
                <w:sz w:val="24"/>
                <w:szCs w:val="24"/>
              </w:rPr>
            </w:pPr>
            <w:r w:rsidRPr="00F0431D">
              <w:rPr>
                <w:rFonts w:asciiTheme="minorHAnsi" w:hAnsiTheme="minorHAnsi" w:eastAsiaTheme="minorEastAsia" w:cstheme="minorBidi"/>
                <w:color w:val="000000" w:themeColor="text1"/>
                <w:sz w:val="24"/>
                <w:szCs w:val="24"/>
              </w:rPr>
              <w:t>2 Years</w:t>
            </w:r>
          </w:p>
        </w:tc>
        <w:tc>
          <w:tcPr>
            <w:tcW w:w="2811" w:type="dxa"/>
            <w:gridSpan w:val="2"/>
          </w:tcPr>
          <w:p w:rsidRPr="00F0431D" w:rsidR="4FB8579C" w:rsidP="00F0431D" w:rsidRDefault="4FB8579C" w14:paraId="6145CD70" w14:textId="0E4D02C5">
            <w:pPr>
              <w:pStyle w:val="TableParagraph"/>
              <w:rPr>
                <w:rFonts w:asciiTheme="minorHAnsi" w:hAnsiTheme="minorHAnsi" w:eastAsiaTheme="minorEastAsia" w:cstheme="minorBidi"/>
                <w:color w:val="000000" w:themeColor="text1"/>
                <w:sz w:val="24"/>
                <w:szCs w:val="24"/>
              </w:rPr>
            </w:pPr>
            <w:r w:rsidRPr="00F0431D">
              <w:rPr>
                <w:rFonts w:asciiTheme="minorHAnsi" w:hAnsiTheme="minorHAnsi" w:eastAsiaTheme="minorEastAsia" w:cstheme="minorBidi"/>
                <w:color w:val="000000" w:themeColor="text1"/>
                <w:sz w:val="24"/>
                <w:szCs w:val="24"/>
              </w:rPr>
              <w:t>Company Policy</w:t>
            </w:r>
          </w:p>
        </w:tc>
      </w:tr>
      <w:tr w:rsidR="4821A59D" w:rsidTr="00F668A4" w14:paraId="065D8246" w14:textId="77777777">
        <w:trPr>
          <w:gridAfter w:val="1"/>
          <w:wAfter w:w="24" w:type="dxa"/>
          <w:trHeight w:val="559"/>
        </w:trPr>
        <w:tc>
          <w:tcPr>
            <w:tcW w:w="3539" w:type="dxa"/>
            <w:gridSpan w:val="2"/>
          </w:tcPr>
          <w:p w:rsidRPr="00F0431D" w:rsidR="0E230A20" w:rsidP="00F0431D" w:rsidRDefault="0E230A20" w14:paraId="277B53BB" w14:textId="0ED827BC">
            <w:pPr>
              <w:pStyle w:val="TableParagraph"/>
              <w:rPr>
                <w:rFonts w:asciiTheme="minorHAnsi" w:hAnsiTheme="minorHAnsi" w:eastAsiaTheme="minorEastAsia" w:cstheme="minorBidi"/>
                <w:color w:val="000000" w:themeColor="text1"/>
                <w:sz w:val="24"/>
                <w:szCs w:val="24"/>
              </w:rPr>
            </w:pPr>
            <w:r w:rsidRPr="00F0431D">
              <w:rPr>
                <w:rFonts w:asciiTheme="minorHAnsi" w:hAnsiTheme="minorHAnsi" w:eastAsiaTheme="minorEastAsia" w:cstheme="minorBidi"/>
                <w:color w:val="000000" w:themeColor="text1"/>
                <w:sz w:val="24"/>
                <w:szCs w:val="24"/>
              </w:rPr>
              <w:t>Jobs to Print</w:t>
            </w:r>
          </w:p>
        </w:tc>
        <w:tc>
          <w:tcPr>
            <w:tcW w:w="3402" w:type="dxa"/>
          </w:tcPr>
          <w:p w:rsidRPr="00F0431D" w:rsidR="0E230A20" w:rsidP="00F0431D" w:rsidRDefault="0E230A20" w14:paraId="01BE28F9" w14:textId="3D65D802">
            <w:pPr>
              <w:pStyle w:val="TableParagraph"/>
              <w:rPr>
                <w:rFonts w:asciiTheme="minorHAnsi" w:hAnsiTheme="minorHAnsi" w:eastAsiaTheme="minorEastAsia" w:cstheme="minorBidi"/>
                <w:color w:val="000000" w:themeColor="text1"/>
                <w:sz w:val="24"/>
                <w:szCs w:val="24"/>
              </w:rPr>
            </w:pPr>
            <w:r w:rsidRPr="00F0431D">
              <w:rPr>
                <w:rFonts w:asciiTheme="minorHAnsi" w:hAnsiTheme="minorHAnsi" w:eastAsiaTheme="minorEastAsia" w:cstheme="minorBidi"/>
                <w:color w:val="000000" w:themeColor="text1"/>
                <w:sz w:val="24"/>
                <w:szCs w:val="24"/>
              </w:rPr>
              <w:t>6 Months</w:t>
            </w:r>
          </w:p>
        </w:tc>
        <w:tc>
          <w:tcPr>
            <w:tcW w:w="2811" w:type="dxa"/>
            <w:gridSpan w:val="2"/>
          </w:tcPr>
          <w:p w:rsidRPr="00F0431D" w:rsidR="0E230A20" w:rsidP="00F0431D" w:rsidRDefault="0E230A20" w14:paraId="2582ED29" w14:textId="1ED4652F">
            <w:pPr>
              <w:pStyle w:val="TableParagraph"/>
              <w:rPr>
                <w:rFonts w:asciiTheme="minorHAnsi" w:hAnsiTheme="minorHAnsi" w:eastAsiaTheme="minorEastAsia" w:cstheme="minorBidi"/>
                <w:color w:val="000000" w:themeColor="text1"/>
                <w:sz w:val="24"/>
                <w:szCs w:val="24"/>
              </w:rPr>
            </w:pPr>
            <w:r w:rsidRPr="00F0431D">
              <w:rPr>
                <w:rFonts w:asciiTheme="minorHAnsi" w:hAnsiTheme="minorHAnsi" w:eastAsiaTheme="minorEastAsia" w:cstheme="minorBidi"/>
                <w:color w:val="000000" w:themeColor="text1"/>
                <w:sz w:val="24"/>
                <w:szCs w:val="24"/>
              </w:rPr>
              <w:t>Company Policy</w:t>
            </w:r>
          </w:p>
        </w:tc>
      </w:tr>
      <w:tr w:rsidR="4821A59D" w:rsidTr="00F668A4" w14:paraId="63779510" w14:textId="77777777">
        <w:trPr>
          <w:gridAfter w:val="1"/>
          <w:wAfter w:w="24" w:type="dxa"/>
          <w:trHeight w:val="553"/>
        </w:trPr>
        <w:tc>
          <w:tcPr>
            <w:tcW w:w="3539" w:type="dxa"/>
            <w:gridSpan w:val="2"/>
          </w:tcPr>
          <w:p w:rsidRPr="00F0431D" w:rsidR="0E230A20" w:rsidP="00F0431D" w:rsidRDefault="0E230A20" w14:paraId="6174A98C" w14:textId="66998511">
            <w:pPr>
              <w:pStyle w:val="TableParagraph"/>
              <w:rPr>
                <w:rFonts w:asciiTheme="minorHAnsi" w:hAnsiTheme="minorHAnsi" w:eastAsiaTheme="minorEastAsia" w:cstheme="minorBidi"/>
                <w:color w:val="000000" w:themeColor="text1"/>
                <w:sz w:val="24"/>
                <w:szCs w:val="24"/>
              </w:rPr>
            </w:pPr>
            <w:r w:rsidRPr="00F0431D">
              <w:rPr>
                <w:rFonts w:asciiTheme="minorHAnsi" w:hAnsiTheme="minorHAnsi" w:eastAsiaTheme="minorEastAsia" w:cstheme="minorBidi"/>
                <w:color w:val="000000" w:themeColor="text1"/>
                <w:sz w:val="24"/>
                <w:szCs w:val="24"/>
              </w:rPr>
              <w:t>CVS Manipulation &amp; Campaigns</w:t>
            </w:r>
          </w:p>
        </w:tc>
        <w:tc>
          <w:tcPr>
            <w:tcW w:w="3402" w:type="dxa"/>
          </w:tcPr>
          <w:p w:rsidRPr="00F0431D" w:rsidR="0E230A20" w:rsidP="00F0431D" w:rsidRDefault="0E230A20" w14:paraId="770D84B3" w14:textId="6FE7A627">
            <w:pPr>
              <w:pStyle w:val="TableParagraph"/>
              <w:rPr>
                <w:rFonts w:asciiTheme="minorHAnsi" w:hAnsiTheme="minorHAnsi" w:eastAsiaTheme="minorEastAsia" w:cstheme="minorBidi"/>
                <w:color w:val="000000" w:themeColor="text1"/>
                <w:sz w:val="24"/>
                <w:szCs w:val="24"/>
              </w:rPr>
            </w:pPr>
            <w:r w:rsidRPr="00F0431D">
              <w:rPr>
                <w:rFonts w:asciiTheme="minorHAnsi" w:hAnsiTheme="minorHAnsi" w:eastAsiaTheme="minorEastAsia" w:cstheme="minorBidi"/>
                <w:color w:val="000000" w:themeColor="text1"/>
                <w:sz w:val="24"/>
                <w:szCs w:val="24"/>
              </w:rPr>
              <w:t>4 Months</w:t>
            </w:r>
          </w:p>
        </w:tc>
        <w:tc>
          <w:tcPr>
            <w:tcW w:w="2811" w:type="dxa"/>
            <w:gridSpan w:val="2"/>
          </w:tcPr>
          <w:p w:rsidRPr="00F0431D" w:rsidR="0E230A20" w:rsidP="00F0431D" w:rsidRDefault="0E230A20" w14:paraId="794D6AFF" w14:textId="2208501E">
            <w:pPr>
              <w:pStyle w:val="TableParagraph"/>
              <w:rPr>
                <w:rFonts w:asciiTheme="minorHAnsi" w:hAnsiTheme="minorHAnsi" w:eastAsiaTheme="minorEastAsia" w:cstheme="minorBidi"/>
                <w:color w:val="000000" w:themeColor="text1"/>
                <w:sz w:val="24"/>
                <w:szCs w:val="24"/>
              </w:rPr>
            </w:pPr>
            <w:r w:rsidRPr="00F0431D">
              <w:rPr>
                <w:rFonts w:asciiTheme="minorHAnsi" w:hAnsiTheme="minorHAnsi" w:eastAsiaTheme="minorEastAsia" w:cstheme="minorBidi"/>
                <w:color w:val="000000" w:themeColor="text1"/>
                <w:sz w:val="24"/>
                <w:szCs w:val="24"/>
              </w:rPr>
              <w:t>Company Policy</w:t>
            </w:r>
          </w:p>
        </w:tc>
      </w:tr>
      <w:tr w:rsidR="596F3EA2" w:rsidTr="00F668A4" w14:paraId="7A364E53" w14:textId="77777777">
        <w:trPr>
          <w:gridAfter w:val="1"/>
          <w:wAfter w:w="24" w:type="dxa"/>
          <w:trHeight w:val="575"/>
        </w:trPr>
        <w:tc>
          <w:tcPr>
            <w:tcW w:w="3539" w:type="dxa"/>
            <w:gridSpan w:val="2"/>
          </w:tcPr>
          <w:p w:rsidRPr="00F0431D" w:rsidR="7EFA0603" w:rsidP="00F0431D" w:rsidRDefault="7EFA0603" w14:paraId="7D6F884A" w14:textId="00CFA843">
            <w:pPr>
              <w:pStyle w:val="TableParagraph"/>
              <w:rPr>
                <w:rFonts w:asciiTheme="minorHAnsi" w:hAnsiTheme="minorHAnsi" w:eastAsiaTheme="minorEastAsia" w:cstheme="minorBidi"/>
                <w:color w:val="000000" w:themeColor="text1"/>
                <w:sz w:val="24"/>
                <w:szCs w:val="24"/>
              </w:rPr>
            </w:pPr>
            <w:r w:rsidRPr="00F0431D">
              <w:rPr>
                <w:rFonts w:asciiTheme="minorHAnsi" w:hAnsiTheme="minorHAnsi" w:eastAsiaTheme="minorEastAsia" w:cstheme="minorBidi"/>
                <w:color w:val="000000" w:themeColor="text1"/>
                <w:sz w:val="24"/>
                <w:szCs w:val="24"/>
              </w:rPr>
              <w:t>Print Proofs</w:t>
            </w:r>
          </w:p>
        </w:tc>
        <w:tc>
          <w:tcPr>
            <w:tcW w:w="3402" w:type="dxa"/>
          </w:tcPr>
          <w:p w:rsidRPr="00F0431D" w:rsidR="7EFA0603" w:rsidP="00F0431D" w:rsidRDefault="7EFA0603" w14:paraId="61C57827" w14:textId="24ADFD67">
            <w:pPr>
              <w:pStyle w:val="TableParagraph"/>
              <w:rPr>
                <w:rFonts w:asciiTheme="minorHAnsi" w:hAnsiTheme="minorHAnsi" w:eastAsiaTheme="minorEastAsia" w:cstheme="minorBidi"/>
                <w:color w:val="000000" w:themeColor="text1"/>
                <w:sz w:val="24"/>
                <w:szCs w:val="24"/>
              </w:rPr>
            </w:pPr>
            <w:r w:rsidRPr="00F0431D">
              <w:rPr>
                <w:rFonts w:asciiTheme="minorHAnsi" w:hAnsiTheme="minorHAnsi" w:eastAsiaTheme="minorEastAsia" w:cstheme="minorBidi"/>
                <w:color w:val="000000" w:themeColor="text1"/>
                <w:sz w:val="24"/>
                <w:szCs w:val="24"/>
              </w:rPr>
              <w:t>1 Year</w:t>
            </w:r>
          </w:p>
        </w:tc>
        <w:tc>
          <w:tcPr>
            <w:tcW w:w="2811" w:type="dxa"/>
            <w:gridSpan w:val="2"/>
          </w:tcPr>
          <w:p w:rsidRPr="00F0431D" w:rsidR="7EFA0603" w:rsidP="00F0431D" w:rsidRDefault="7EFA0603" w14:paraId="6A50F151" w14:textId="24F06CD1">
            <w:pPr>
              <w:pStyle w:val="TableParagraph"/>
              <w:rPr>
                <w:rFonts w:asciiTheme="minorHAnsi" w:hAnsiTheme="minorHAnsi" w:eastAsiaTheme="minorEastAsia" w:cstheme="minorBidi"/>
                <w:color w:val="000000" w:themeColor="text1"/>
                <w:sz w:val="24"/>
                <w:szCs w:val="24"/>
              </w:rPr>
            </w:pPr>
            <w:r w:rsidRPr="00F0431D">
              <w:rPr>
                <w:rFonts w:asciiTheme="minorHAnsi" w:hAnsiTheme="minorHAnsi" w:eastAsiaTheme="minorEastAsia" w:cstheme="minorBidi"/>
                <w:color w:val="000000" w:themeColor="text1"/>
                <w:sz w:val="24"/>
                <w:szCs w:val="24"/>
              </w:rPr>
              <w:t>Company Policy</w:t>
            </w:r>
          </w:p>
        </w:tc>
      </w:tr>
    </w:tbl>
    <w:p w:rsidR="6305B8F6" w:rsidP="00837EBE" w:rsidRDefault="6305B8F6" w14:paraId="3978AD19" w14:textId="402A0514">
      <w:pPr>
        <w:pStyle w:val="Appendix1"/>
        <w:numPr>
          <w:ilvl w:val="0"/>
          <w:numId w:val="0"/>
        </w:numPr>
      </w:pPr>
    </w:p>
    <w:sectPr w:rsidR="6305B8F6" w:rsidSect="00EF686F">
      <w:footerReference w:type="default" r:id="rId9"/>
      <w:pgSz w:w="11906" w:h="16838" w:orient="portrait"/>
      <w:pgMar w:top="630" w:right="707" w:bottom="540" w:left="810" w:header="720" w:footer="720" w:gutter="0"/>
      <w:cols w:equalWidth="0" w:space="72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3C67" w:rsidRDefault="00DD3C67" w14:paraId="54F719E4" w14:textId="77777777">
      <w:pPr>
        <w:spacing w:after="0" w:line="240" w:lineRule="auto"/>
      </w:pPr>
      <w:r>
        <w:separator/>
      </w:r>
    </w:p>
  </w:endnote>
  <w:endnote w:type="continuationSeparator" w:id="0">
    <w:p w:rsidR="00DD3C67" w:rsidRDefault="00DD3C67" w14:paraId="40F13F4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64F7" w:rsidRDefault="00BF64F7" w14:paraId="0F68EAEE" w14:textId="77777777">
    <w:pPr>
      <w:pBdr>
        <w:top w:val="nil"/>
        <w:left w:val="nil"/>
        <w:bottom w:val="nil"/>
        <w:right w:val="nil"/>
        <w:between w:val="nil"/>
      </w:pBdr>
      <w:tabs>
        <w:tab w:val="center" w:pos="4153"/>
        <w:tab w:val="right" w:pos="8306"/>
      </w:tabs>
      <w:rPr>
        <w:rFonts w:ascii="Cambria" w:hAnsi="Cambria" w:eastAsia="Cambria" w:cs="Cambria"/>
        <w:color w:val="000000"/>
      </w:rPr>
    </w:pPr>
  </w:p>
  <w:p w:rsidR="00BF64F7" w:rsidRDefault="00DD1DD8" w14:paraId="4709724B" w14:textId="03E5E2F5">
    <w:pPr>
      <w:pBdr>
        <w:top w:val="nil"/>
        <w:left w:val="nil"/>
        <w:bottom w:val="nil"/>
        <w:right w:val="nil"/>
        <w:between w:val="nil"/>
      </w:pBdr>
      <w:tabs>
        <w:tab w:val="center" w:pos="4153"/>
        <w:tab w:val="right" w:pos="8306"/>
      </w:tabs>
      <w:jc w:val="right"/>
      <w:rPr>
        <w:rFonts w:ascii="Cambria" w:hAnsi="Cambria" w:eastAsia="Cambria" w:cs="Cambria"/>
        <w:b/>
        <w:color w:val="000000"/>
      </w:rPr>
    </w:pPr>
    <w:r>
      <w:rPr>
        <w:rFonts w:ascii="Cambria" w:hAnsi="Cambria" w:eastAsia="Cambria" w:cs="Cambria"/>
        <w:b/>
        <w:color w:val="000000"/>
      </w:rPr>
      <w:t xml:space="preserve">Data Retention Schedule – Updated </w:t>
    </w:r>
    <w:r w:rsidR="00F0431D">
      <w:rPr>
        <w:rFonts w:ascii="Cambria" w:hAnsi="Cambria" w:eastAsia="Cambria" w:cs="Cambria"/>
        <w:b/>
      </w:rPr>
      <w:t>October</w:t>
    </w:r>
    <w:r>
      <w:rPr>
        <w:rFonts w:ascii="Cambria" w:hAnsi="Cambria" w:eastAsia="Cambria" w:cs="Cambria"/>
        <w:b/>
      </w:rPr>
      <w:t xml:space="preserve"> 20</w:t>
    </w:r>
    <w:r w:rsidR="00734220">
      <w:rPr>
        <w:rFonts w:ascii="Cambria" w:hAnsi="Cambria" w:eastAsia="Cambria" w:cs="Cambria"/>
        <w:b/>
      </w:rPr>
      <w:t>2</w:t>
    </w:r>
    <w:r w:rsidR="00E31191">
      <w:rPr>
        <w:rFonts w:ascii="Cambria" w:hAnsi="Cambria" w:eastAsia="Cambria" w:cs="Cambria"/>
        <w:b/>
      </w:rPr>
      <w:t>4</w:t>
    </w:r>
  </w:p>
  <w:p w:rsidR="00BF64F7" w:rsidRDefault="00BF64F7" w14:paraId="50728C2C" w14:textId="77777777">
    <w:pPr>
      <w:pBdr>
        <w:top w:val="nil"/>
        <w:left w:val="nil"/>
        <w:bottom w:val="nil"/>
        <w:right w:val="nil"/>
        <w:between w:val="nil"/>
      </w:pBdr>
      <w:tabs>
        <w:tab w:val="center" w:pos="4153"/>
        <w:tab w:val="right" w:pos="8306"/>
      </w:tabs>
      <w:jc w:val="center"/>
      <w:rPr>
        <w:rFonts w:ascii="Cambria" w:hAnsi="Cambria" w:eastAsia="Cambria" w:cs="Cambria"/>
        <w:i/>
        <w:color w:val="000000"/>
        <w:sz w:val="14"/>
        <w:szCs w:val="14"/>
      </w:rPr>
    </w:pPr>
  </w:p>
  <w:p w:rsidR="00BF64F7" w:rsidRDefault="00BF64F7" w14:paraId="55786786" w14:textId="77777777">
    <w:pPr>
      <w:pBdr>
        <w:top w:val="nil"/>
        <w:left w:val="nil"/>
        <w:bottom w:val="nil"/>
        <w:right w:val="nil"/>
        <w:between w:val="nil"/>
      </w:pBdr>
      <w:tabs>
        <w:tab w:val="center" w:pos="4153"/>
        <w:tab w:val="right" w:pos="8306"/>
      </w:tabs>
      <w:rPr>
        <w:rFonts w:ascii="Cambria" w:hAnsi="Cambria"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3C67" w:rsidRDefault="00DD3C67" w14:paraId="732D14E2" w14:textId="77777777">
      <w:pPr>
        <w:spacing w:after="0" w:line="240" w:lineRule="auto"/>
      </w:pPr>
      <w:r>
        <w:separator/>
      </w:r>
    </w:p>
  </w:footnote>
  <w:footnote w:type="continuationSeparator" w:id="0">
    <w:p w:rsidR="00DD3C67" w:rsidRDefault="00DD3C67" w14:paraId="122D7CCF" w14:textId="7777777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8LTZ8KejK/eOkE" int2:id="3aMdyUU2">
      <int2:state int2:value="Rejected" int2:type="AugLoop_Text_Critique"/>
    </int2:textHash>
    <int2:textHash int2:hashCode="dxnfvN99tl9Wq+" int2:id="0o6u0k1E">
      <int2:state int2:value="Rejected" int2:type="AugLoop_Text_Critique"/>
    </int2:textHash>
    <int2:textHash int2:hashCode="v3jXqOAVqWKVSe" int2:id="8btfnqj2">
      <int2:state int2:value="Rejected" int2:type="AugLoop_Text_Critique"/>
    </int2:textHash>
    <int2:textHash int2:hashCode="m/C6mGJeQTWOW1" int2:id="vhCXsnnp">
      <int2:state int2:value="Rejected" int2:type="AugLoop_Text_Critique"/>
    </int2:textHash>
    <int2:textHash int2:hashCode="kv4UVae7TQCfC0" int2:id="sg361U0G">
      <int2:state int2:value="Rejected" int2:type="AugLoop_Text_Critique"/>
    </int2:textHash>
    <int2:textHash int2:hashCode="Pjf2COixPlAuCt" int2:id="vBlCih9P">
      <int2:state int2:value="Rejected" int2:type="AugLoop_Text_Critique"/>
    </int2:textHash>
    <int2:textHash int2:hashCode="ij0xKRPoM2C/ez" int2:id="cgK82gvr">
      <int2:state int2:value="Rejected" int2:type="AugLoop_Text_Critique"/>
    </int2:textHash>
    <int2:textHash int2:hashCode="QgmNU58P0unWdN" int2:id="AwdASjfF">
      <int2:state int2:value="Rejected" int2:type="AugLoop_Text_Critique"/>
    </int2:textHash>
    <int2:textHash int2:hashCode="kByidkXaRxGvMx" int2:id="QnI3mYF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6454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6E9B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95058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E7D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4C530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D5A80776"/>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132A883C"/>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E9EC9E5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781664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78423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33359B7"/>
    <w:multiLevelType w:val="multilevel"/>
    <w:tmpl w:val="AAFE3D66"/>
    <w:lvl w:ilvl="0">
      <w:start w:val="1"/>
      <w:numFmt w:val="decimal"/>
      <w:lvlText w:val="%1"/>
      <w:lvlJc w:val="left"/>
      <w:pPr>
        <w:ind w:left="851" w:hanging="851"/>
      </w:pPr>
    </w:lvl>
    <w:lvl w:ilvl="1">
      <w:start w:val="1"/>
      <w:numFmt w:val="decimal"/>
      <w:pStyle w:val="Recitals"/>
      <w:lvlText w:val="%1.%2"/>
      <w:lvlJc w:val="left"/>
      <w:pPr>
        <w:ind w:left="851" w:hanging="851"/>
      </w:pPr>
    </w:lvl>
    <w:lvl w:ilvl="2">
      <w:start w:val="1"/>
      <w:numFmt w:val="decimal"/>
      <w:lvlText w:val="%1.%2.%3"/>
      <w:lvlJc w:val="left"/>
      <w:pPr>
        <w:ind w:left="1701" w:hanging="850"/>
      </w:pPr>
    </w:lvl>
    <w:lvl w:ilvl="3">
      <w:start w:val="1"/>
      <w:numFmt w:val="decimal"/>
      <w:lvlText w:val="%1.%2.%3.%4"/>
      <w:lvlJc w:val="left"/>
      <w:pPr>
        <w:ind w:left="1701" w:hanging="850"/>
      </w:pPr>
    </w:lvl>
    <w:lvl w:ilvl="4">
      <w:start w:val="1"/>
      <w:numFmt w:val="upperLetter"/>
      <w:lvlText w:val="(%5)"/>
      <w:lvlJc w:val="left"/>
      <w:pPr>
        <w:ind w:left="1701" w:hanging="850"/>
      </w:pPr>
      <w:rPr>
        <w:rFonts w:ascii="Tahoma" w:hAnsi="Tahoma" w:eastAsia="Tahoma" w:cs="Tahoma"/>
        <w:sz w:val="20"/>
        <w:szCs w:val="20"/>
      </w:rPr>
    </w:lvl>
    <w:lvl w:ilvl="5">
      <w:start w:val="1"/>
      <w:numFmt w:val="decimal"/>
      <w:lvlText w:val="%1.%2.%3.%4.%5.%6"/>
      <w:lvlJc w:val="left"/>
      <w:pPr>
        <w:ind w:left="2552" w:hanging="851"/>
      </w:pPr>
    </w:lvl>
    <w:lvl w:ilvl="6">
      <w:start w:val="1"/>
      <w:numFmt w:val="decimal"/>
      <w:lvlText w:val="%1.%2.%3.%4.%5.%6.%7"/>
      <w:lvlJc w:val="left"/>
      <w:pPr>
        <w:ind w:left="2552" w:hanging="851"/>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920A41"/>
    <w:multiLevelType w:val="hybridMultilevel"/>
    <w:tmpl w:val="EE5E375C"/>
    <w:lvl w:ilvl="0" w:tplc="29AAD896">
      <w:start w:val="1"/>
      <w:numFmt w:val="bullet"/>
      <w:lvlText w:val=""/>
      <w:lvlJc w:val="left"/>
      <w:pPr>
        <w:ind w:left="720" w:hanging="360"/>
      </w:pPr>
      <w:rPr>
        <w:rFonts w:hint="default" w:ascii="Symbol" w:hAnsi="Symbol"/>
      </w:rPr>
    </w:lvl>
    <w:lvl w:ilvl="1" w:tplc="70362208">
      <w:start w:val="1"/>
      <w:numFmt w:val="bullet"/>
      <w:lvlText w:val="o"/>
      <w:lvlJc w:val="left"/>
      <w:pPr>
        <w:ind w:left="1440" w:hanging="360"/>
      </w:pPr>
      <w:rPr>
        <w:rFonts w:hint="default" w:ascii="Courier New" w:hAnsi="Courier New"/>
      </w:rPr>
    </w:lvl>
    <w:lvl w:ilvl="2" w:tplc="0400CE80">
      <w:start w:val="1"/>
      <w:numFmt w:val="bullet"/>
      <w:lvlText w:val=""/>
      <w:lvlJc w:val="left"/>
      <w:pPr>
        <w:ind w:left="2160" w:hanging="360"/>
      </w:pPr>
      <w:rPr>
        <w:rFonts w:hint="default" w:ascii="Wingdings" w:hAnsi="Wingdings"/>
      </w:rPr>
    </w:lvl>
    <w:lvl w:ilvl="3" w:tplc="B66A7CD6">
      <w:start w:val="1"/>
      <w:numFmt w:val="bullet"/>
      <w:lvlText w:val=""/>
      <w:lvlJc w:val="left"/>
      <w:pPr>
        <w:ind w:left="2880" w:hanging="360"/>
      </w:pPr>
      <w:rPr>
        <w:rFonts w:hint="default" w:ascii="Symbol" w:hAnsi="Symbol"/>
      </w:rPr>
    </w:lvl>
    <w:lvl w:ilvl="4" w:tplc="878EF072">
      <w:start w:val="1"/>
      <w:numFmt w:val="bullet"/>
      <w:lvlText w:val="o"/>
      <w:lvlJc w:val="left"/>
      <w:pPr>
        <w:ind w:left="3600" w:hanging="360"/>
      </w:pPr>
      <w:rPr>
        <w:rFonts w:hint="default" w:ascii="Courier New" w:hAnsi="Courier New"/>
      </w:rPr>
    </w:lvl>
    <w:lvl w:ilvl="5" w:tplc="0E7AE038">
      <w:start w:val="1"/>
      <w:numFmt w:val="bullet"/>
      <w:lvlText w:val=""/>
      <w:lvlJc w:val="left"/>
      <w:pPr>
        <w:ind w:left="4320" w:hanging="360"/>
      </w:pPr>
      <w:rPr>
        <w:rFonts w:hint="default" w:ascii="Wingdings" w:hAnsi="Wingdings"/>
      </w:rPr>
    </w:lvl>
    <w:lvl w:ilvl="6" w:tplc="441AFD84">
      <w:start w:val="1"/>
      <w:numFmt w:val="bullet"/>
      <w:lvlText w:val=""/>
      <w:lvlJc w:val="left"/>
      <w:pPr>
        <w:ind w:left="5040" w:hanging="360"/>
      </w:pPr>
      <w:rPr>
        <w:rFonts w:hint="default" w:ascii="Symbol" w:hAnsi="Symbol"/>
      </w:rPr>
    </w:lvl>
    <w:lvl w:ilvl="7" w:tplc="6ED42EA6">
      <w:start w:val="1"/>
      <w:numFmt w:val="bullet"/>
      <w:lvlText w:val="o"/>
      <w:lvlJc w:val="left"/>
      <w:pPr>
        <w:ind w:left="5760" w:hanging="360"/>
      </w:pPr>
      <w:rPr>
        <w:rFonts w:hint="default" w:ascii="Courier New" w:hAnsi="Courier New"/>
      </w:rPr>
    </w:lvl>
    <w:lvl w:ilvl="8" w:tplc="085E7386">
      <w:start w:val="1"/>
      <w:numFmt w:val="bullet"/>
      <w:lvlText w:val=""/>
      <w:lvlJc w:val="left"/>
      <w:pPr>
        <w:ind w:left="6480" w:hanging="360"/>
      </w:pPr>
      <w:rPr>
        <w:rFonts w:hint="default" w:ascii="Wingdings" w:hAnsi="Wingdings"/>
      </w:rPr>
    </w:lvl>
  </w:abstractNum>
  <w:abstractNum w:abstractNumId="12" w15:restartNumberingAfterBreak="0">
    <w:nsid w:val="0E7E674F"/>
    <w:multiLevelType w:val="hybridMultilevel"/>
    <w:tmpl w:val="75CED1CE"/>
    <w:lvl w:ilvl="0" w:tplc="744A9672">
      <w:start w:val="1"/>
      <w:numFmt w:val="bullet"/>
      <w:lvlText w:val=""/>
      <w:lvlJc w:val="left"/>
      <w:pPr>
        <w:ind w:left="720" w:hanging="360"/>
      </w:pPr>
      <w:rPr>
        <w:rFonts w:hint="default" w:ascii="Symbol" w:hAnsi="Symbol"/>
      </w:rPr>
    </w:lvl>
    <w:lvl w:ilvl="1" w:tplc="032E6510">
      <w:start w:val="1"/>
      <w:numFmt w:val="bullet"/>
      <w:lvlText w:val="o"/>
      <w:lvlJc w:val="left"/>
      <w:pPr>
        <w:ind w:left="1440" w:hanging="360"/>
      </w:pPr>
      <w:rPr>
        <w:rFonts w:hint="default" w:ascii="Courier New" w:hAnsi="Courier New"/>
      </w:rPr>
    </w:lvl>
    <w:lvl w:ilvl="2" w:tplc="9AA8CEB2">
      <w:start w:val="1"/>
      <w:numFmt w:val="bullet"/>
      <w:lvlText w:val=""/>
      <w:lvlJc w:val="left"/>
      <w:pPr>
        <w:ind w:left="2160" w:hanging="360"/>
      </w:pPr>
      <w:rPr>
        <w:rFonts w:hint="default" w:ascii="Wingdings" w:hAnsi="Wingdings"/>
      </w:rPr>
    </w:lvl>
    <w:lvl w:ilvl="3" w:tplc="259A0700">
      <w:start w:val="1"/>
      <w:numFmt w:val="bullet"/>
      <w:lvlText w:val=""/>
      <w:lvlJc w:val="left"/>
      <w:pPr>
        <w:ind w:left="2880" w:hanging="360"/>
      </w:pPr>
      <w:rPr>
        <w:rFonts w:hint="default" w:ascii="Symbol" w:hAnsi="Symbol"/>
      </w:rPr>
    </w:lvl>
    <w:lvl w:ilvl="4" w:tplc="CF8E1CF2">
      <w:start w:val="1"/>
      <w:numFmt w:val="bullet"/>
      <w:lvlText w:val="o"/>
      <w:lvlJc w:val="left"/>
      <w:pPr>
        <w:ind w:left="3600" w:hanging="360"/>
      </w:pPr>
      <w:rPr>
        <w:rFonts w:hint="default" w:ascii="Courier New" w:hAnsi="Courier New"/>
      </w:rPr>
    </w:lvl>
    <w:lvl w:ilvl="5" w:tplc="EFBE0F10">
      <w:start w:val="1"/>
      <w:numFmt w:val="bullet"/>
      <w:lvlText w:val=""/>
      <w:lvlJc w:val="left"/>
      <w:pPr>
        <w:ind w:left="4320" w:hanging="360"/>
      </w:pPr>
      <w:rPr>
        <w:rFonts w:hint="default" w:ascii="Wingdings" w:hAnsi="Wingdings"/>
      </w:rPr>
    </w:lvl>
    <w:lvl w:ilvl="6" w:tplc="5016DA52">
      <w:start w:val="1"/>
      <w:numFmt w:val="bullet"/>
      <w:lvlText w:val=""/>
      <w:lvlJc w:val="left"/>
      <w:pPr>
        <w:ind w:left="5040" w:hanging="360"/>
      </w:pPr>
      <w:rPr>
        <w:rFonts w:hint="default" w:ascii="Symbol" w:hAnsi="Symbol"/>
      </w:rPr>
    </w:lvl>
    <w:lvl w:ilvl="7" w:tplc="FD7417B4">
      <w:start w:val="1"/>
      <w:numFmt w:val="bullet"/>
      <w:lvlText w:val="o"/>
      <w:lvlJc w:val="left"/>
      <w:pPr>
        <w:ind w:left="5760" w:hanging="360"/>
      </w:pPr>
      <w:rPr>
        <w:rFonts w:hint="default" w:ascii="Courier New" w:hAnsi="Courier New"/>
      </w:rPr>
    </w:lvl>
    <w:lvl w:ilvl="8" w:tplc="A94EBCAE">
      <w:start w:val="1"/>
      <w:numFmt w:val="bullet"/>
      <w:lvlText w:val=""/>
      <w:lvlJc w:val="left"/>
      <w:pPr>
        <w:ind w:left="6480" w:hanging="360"/>
      </w:pPr>
      <w:rPr>
        <w:rFonts w:hint="default" w:ascii="Wingdings" w:hAnsi="Wingdings"/>
      </w:rPr>
    </w:lvl>
  </w:abstractNum>
  <w:abstractNum w:abstractNumId="13" w15:restartNumberingAfterBreak="0">
    <w:nsid w:val="3A9D573C"/>
    <w:multiLevelType w:val="hybridMultilevel"/>
    <w:tmpl w:val="069022D0"/>
    <w:lvl w:ilvl="0" w:tplc="9754D860">
      <w:start w:val="1"/>
      <w:numFmt w:val="upperLetter"/>
      <w:pStyle w:val="Appendix1"/>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4" w15:restartNumberingAfterBreak="0">
    <w:nsid w:val="55BC5867"/>
    <w:multiLevelType w:val="hybridMultilevel"/>
    <w:tmpl w:val="4F967F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9C535F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5A385253"/>
    <w:multiLevelType w:val="hybridMultilevel"/>
    <w:tmpl w:val="03FAF0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35360762">
    <w:abstractNumId w:val="11"/>
  </w:num>
  <w:num w:numId="2" w16cid:durableId="225380381">
    <w:abstractNumId w:val="12"/>
  </w:num>
  <w:num w:numId="3" w16cid:durableId="1870027855">
    <w:abstractNumId w:val="10"/>
  </w:num>
  <w:num w:numId="4" w16cid:durableId="1527013864">
    <w:abstractNumId w:val="15"/>
  </w:num>
  <w:num w:numId="5" w16cid:durableId="924530702">
    <w:abstractNumId w:val="13"/>
  </w:num>
  <w:num w:numId="6" w16cid:durableId="911355852">
    <w:abstractNumId w:val="9"/>
  </w:num>
  <w:num w:numId="7" w16cid:durableId="1356226680">
    <w:abstractNumId w:val="7"/>
  </w:num>
  <w:num w:numId="8" w16cid:durableId="258685138">
    <w:abstractNumId w:val="6"/>
  </w:num>
  <w:num w:numId="9" w16cid:durableId="70541294">
    <w:abstractNumId w:val="5"/>
  </w:num>
  <w:num w:numId="10" w16cid:durableId="1280843051">
    <w:abstractNumId w:val="4"/>
  </w:num>
  <w:num w:numId="11" w16cid:durableId="1038046589">
    <w:abstractNumId w:val="8"/>
  </w:num>
  <w:num w:numId="12" w16cid:durableId="297151070">
    <w:abstractNumId w:val="3"/>
  </w:num>
  <w:num w:numId="13" w16cid:durableId="281310202">
    <w:abstractNumId w:val="2"/>
  </w:num>
  <w:num w:numId="14" w16cid:durableId="944387979">
    <w:abstractNumId w:val="1"/>
  </w:num>
  <w:num w:numId="15" w16cid:durableId="1987784328">
    <w:abstractNumId w:val="0"/>
  </w:num>
  <w:num w:numId="16" w16cid:durableId="1939019604">
    <w:abstractNumId w:val="13"/>
    <w:lvlOverride w:ilvl="0">
      <w:startOverride w:val="1"/>
    </w:lvlOverride>
  </w:num>
  <w:num w:numId="17" w16cid:durableId="408770273">
    <w:abstractNumId w:val="13"/>
    <w:lvlOverride w:ilvl="0">
      <w:startOverride w:val="1"/>
    </w:lvlOverride>
  </w:num>
  <w:num w:numId="18" w16cid:durableId="1806699402">
    <w:abstractNumId w:val="14"/>
  </w:num>
  <w:num w:numId="19" w16cid:durableId="1915429128">
    <w:abstractNumId w:val="16"/>
  </w:num>
  <w:num w:numId="20" w16cid:durableId="798765943">
    <w:abstractNumId w:val="15"/>
  </w:num>
  <w:num w:numId="21" w16cid:durableId="340471742">
    <w:abstractNumId w:val="13"/>
    <w:lvlOverride w:ilvl="0">
      <w:startOverride w:val="1"/>
    </w:lvlOverride>
  </w:num>
  <w:num w:numId="22" w16cid:durableId="1285700099">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4F7"/>
    <w:rsid w:val="00000000"/>
    <w:rsid w:val="000141D1"/>
    <w:rsid w:val="00061BC7"/>
    <w:rsid w:val="00074904"/>
    <w:rsid w:val="000854E4"/>
    <w:rsid w:val="000A08C7"/>
    <w:rsid w:val="000B5131"/>
    <w:rsid w:val="000C44D4"/>
    <w:rsid w:val="000E579C"/>
    <w:rsid w:val="000F2B8F"/>
    <w:rsid w:val="00102505"/>
    <w:rsid w:val="0012F8D1"/>
    <w:rsid w:val="00135CC3"/>
    <w:rsid w:val="001664E5"/>
    <w:rsid w:val="00186AFA"/>
    <w:rsid w:val="001A3B1C"/>
    <w:rsid w:val="001F37BD"/>
    <w:rsid w:val="00235CFE"/>
    <w:rsid w:val="00263541"/>
    <w:rsid w:val="00263660"/>
    <w:rsid w:val="002D4DDF"/>
    <w:rsid w:val="003169DC"/>
    <w:rsid w:val="0034F15E"/>
    <w:rsid w:val="00390A8B"/>
    <w:rsid w:val="00390BF2"/>
    <w:rsid w:val="00396186"/>
    <w:rsid w:val="003D22AD"/>
    <w:rsid w:val="003D41A4"/>
    <w:rsid w:val="00432451"/>
    <w:rsid w:val="004433B7"/>
    <w:rsid w:val="004F3F3F"/>
    <w:rsid w:val="00501B92"/>
    <w:rsid w:val="0050538E"/>
    <w:rsid w:val="00505765"/>
    <w:rsid w:val="005678AC"/>
    <w:rsid w:val="005A44D8"/>
    <w:rsid w:val="005D752C"/>
    <w:rsid w:val="00640A79"/>
    <w:rsid w:val="00646AD1"/>
    <w:rsid w:val="00684725"/>
    <w:rsid w:val="00691206"/>
    <w:rsid w:val="006B43F5"/>
    <w:rsid w:val="00734220"/>
    <w:rsid w:val="00791B08"/>
    <w:rsid w:val="007D470E"/>
    <w:rsid w:val="00837EBE"/>
    <w:rsid w:val="00851055"/>
    <w:rsid w:val="00872FD9"/>
    <w:rsid w:val="00894EC2"/>
    <w:rsid w:val="00895D43"/>
    <w:rsid w:val="008A617B"/>
    <w:rsid w:val="008F6652"/>
    <w:rsid w:val="008F7F6E"/>
    <w:rsid w:val="009124D3"/>
    <w:rsid w:val="009159A8"/>
    <w:rsid w:val="00916CE0"/>
    <w:rsid w:val="00923F30"/>
    <w:rsid w:val="00934B72"/>
    <w:rsid w:val="009800BF"/>
    <w:rsid w:val="009B4AAD"/>
    <w:rsid w:val="00A333F1"/>
    <w:rsid w:val="00A3768D"/>
    <w:rsid w:val="00AC5BE5"/>
    <w:rsid w:val="00AF2F2E"/>
    <w:rsid w:val="00B32FE3"/>
    <w:rsid w:val="00B36B0E"/>
    <w:rsid w:val="00B54F24"/>
    <w:rsid w:val="00B65239"/>
    <w:rsid w:val="00BA1337"/>
    <w:rsid w:val="00BD06E8"/>
    <w:rsid w:val="00BF64F7"/>
    <w:rsid w:val="00C13232"/>
    <w:rsid w:val="00C8541D"/>
    <w:rsid w:val="00C924B1"/>
    <w:rsid w:val="00D11D48"/>
    <w:rsid w:val="00D67903"/>
    <w:rsid w:val="00D81AB0"/>
    <w:rsid w:val="00D96791"/>
    <w:rsid w:val="00DD1DD8"/>
    <w:rsid w:val="00DD3C67"/>
    <w:rsid w:val="00E31191"/>
    <w:rsid w:val="00E725F3"/>
    <w:rsid w:val="00E94D52"/>
    <w:rsid w:val="00EA77C2"/>
    <w:rsid w:val="00EF686F"/>
    <w:rsid w:val="00F0431D"/>
    <w:rsid w:val="00F06420"/>
    <w:rsid w:val="00F126E2"/>
    <w:rsid w:val="00F326D3"/>
    <w:rsid w:val="00F61BC9"/>
    <w:rsid w:val="00F668A4"/>
    <w:rsid w:val="00F75178"/>
    <w:rsid w:val="019AE596"/>
    <w:rsid w:val="01AA68B8"/>
    <w:rsid w:val="023B15B6"/>
    <w:rsid w:val="036FB3EB"/>
    <w:rsid w:val="03BAA5BD"/>
    <w:rsid w:val="047F7BC0"/>
    <w:rsid w:val="048E8E6C"/>
    <w:rsid w:val="04F7BC6D"/>
    <w:rsid w:val="05CB78E0"/>
    <w:rsid w:val="05DBC07E"/>
    <w:rsid w:val="0621C0C5"/>
    <w:rsid w:val="06283EDA"/>
    <w:rsid w:val="065AA81B"/>
    <w:rsid w:val="068E09E0"/>
    <w:rsid w:val="0726C71F"/>
    <w:rsid w:val="0742B47C"/>
    <w:rsid w:val="07BD9126"/>
    <w:rsid w:val="07D22B92"/>
    <w:rsid w:val="080A271A"/>
    <w:rsid w:val="08E1DC14"/>
    <w:rsid w:val="09407FC1"/>
    <w:rsid w:val="098D6404"/>
    <w:rsid w:val="0A1896D5"/>
    <w:rsid w:val="0A6D681B"/>
    <w:rsid w:val="0AD58C76"/>
    <w:rsid w:val="0B33E5C9"/>
    <w:rsid w:val="0B493C55"/>
    <w:rsid w:val="0BB52B0D"/>
    <w:rsid w:val="0C1F7776"/>
    <w:rsid w:val="0C31D9A5"/>
    <w:rsid w:val="0C949DB8"/>
    <w:rsid w:val="0C9CB022"/>
    <w:rsid w:val="0CA315DD"/>
    <w:rsid w:val="0CDD983D"/>
    <w:rsid w:val="0D5482D4"/>
    <w:rsid w:val="0D77334B"/>
    <w:rsid w:val="0DB01462"/>
    <w:rsid w:val="0DCDAA06"/>
    <w:rsid w:val="0E230A20"/>
    <w:rsid w:val="0E306E19"/>
    <w:rsid w:val="0E50403A"/>
    <w:rsid w:val="0F777F6D"/>
    <w:rsid w:val="0F87E84D"/>
    <w:rsid w:val="0FFC83C0"/>
    <w:rsid w:val="11680EDB"/>
    <w:rsid w:val="11985421"/>
    <w:rsid w:val="11B0E00A"/>
    <w:rsid w:val="1225F218"/>
    <w:rsid w:val="1240D86C"/>
    <w:rsid w:val="12A11B29"/>
    <w:rsid w:val="13241D7F"/>
    <w:rsid w:val="13352B68"/>
    <w:rsid w:val="134CD9C1"/>
    <w:rsid w:val="13E9BB9A"/>
    <w:rsid w:val="1461E8CC"/>
    <w:rsid w:val="14B5DC1E"/>
    <w:rsid w:val="1528DC69"/>
    <w:rsid w:val="158FD52A"/>
    <w:rsid w:val="15F94FEF"/>
    <w:rsid w:val="16544BAE"/>
    <w:rsid w:val="16693884"/>
    <w:rsid w:val="16997E68"/>
    <w:rsid w:val="169CC07E"/>
    <w:rsid w:val="16E7CE25"/>
    <w:rsid w:val="16EF031C"/>
    <w:rsid w:val="174CD1BB"/>
    <w:rsid w:val="177F793C"/>
    <w:rsid w:val="178FDF69"/>
    <w:rsid w:val="19014DBE"/>
    <w:rsid w:val="198F5006"/>
    <w:rsid w:val="19C6B02F"/>
    <w:rsid w:val="1A2C2F78"/>
    <w:rsid w:val="1A317D7E"/>
    <w:rsid w:val="1AE5B082"/>
    <w:rsid w:val="1B418A53"/>
    <w:rsid w:val="1B9E762C"/>
    <w:rsid w:val="1BD420ED"/>
    <w:rsid w:val="1C160139"/>
    <w:rsid w:val="1C5585C6"/>
    <w:rsid w:val="1D07A308"/>
    <w:rsid w:val="1D5F24B3"/>
    <w:rsid w:val="1D81C0A9"/>
    <w:rsid w:val="1DF81FFC"/>
    <w:rsid w:val="1DF95DE8"/>
    <w:rsid w:val="1E9888CC"/>
    <w:rsid w:val="1EA268B8"/>
    <w:rsid w:val="1EB5AEAB"/>
    <w:rsid w:val="1EED4E91"/>
    <w:rsid w:val="1EFFEDBE"/>
    <w:rsid w:val="1F42E86A"/>
    <w:rsid w:val="1F78C000"/>
    <w:rsid w:val="1F88E0EA"/>
    <w:rsid w:val="1FD61E30"/>
    <w:rsid w:val="2037945F"/>
    <w:rsid w:val="209E298A"/>
    <w:rsid w:val="2143004B"/>
    <w:rsid w:val="218EE9B8"/>
    <w:rsid w:val="22106C06"/>
    <w:rsid w:val="22852E0C"/>
    <w:rsid w:val="229F24C6"/>
    <w:rsid w:val="23077222"/>
    <w:rsid w:val="239D3B02"/>
    <w:rsid w:val="23D8640F"/>
    <w:rsid w:val="23F1022D"/>
    <w:rsid w:val="2487A3E3"/>
    <w:rsid w:val="24B16AD3"/>
    <w:rsid w:val="24D44F5C"/>
    <w:rsid w:val="24E00282"/>
    <w:rsid w:val="259F0C6B"/>
    <w:rsid w:val="2612789D"/>
    <w:rsid w:val="2687B013"/>
    <w:rsid w:val="277538E3"/>
    <w:rsid w:val="2777DAD0"/>
    <w:rsid w:val="27B601ED"/>
    <w:rsid w:val="27D5CAB0"/>
    <w:rsid w:val="2818496D"/>
    <w:rsid w:val="287DF31E"/>
    <w:rsid w:val="28C80EBF"/>
    <w:rsid w:val="2926032A"/>
    <w:rsid w:val="2A5E986E"/>
    <w:rsid w:val="2AACD9A5"/>
    <w:rsid w:val="2ABC6DA8"/>
    <w:rsid w:val="2B053866"/>
    <w:rsid w:val="2C88C741"/>
    <w:rsid w:val="2CB177DE"/>
    <w:rsid w:val="2CFD9038"/>
    <w:rsid w:val="2D184052"/>
    <w:rsid w:val="2D94A534"/>
    <w:rsid w:val="2DD28E29"/>
    <w:rsid w:val="2DD3731E"/>
    <w:rsid w:val="2E2FF263"/>
    <w:rsid w:val="2E6A04D3"/>
    <w:rsid w:val="2E6F2F3A"/>
    <w:rsid w:val="2E99C8CF"/>
    <w:rsid w:val="2EC7404C"/>
    <w:rsid w:val="2ECB5649"/>
    <w:rsid w:val="2ED48C30"/>
    <w:rsid w:val="2F375043"/>
    <w:rsid w:val="2FD42741"/>
    <w:rsid w:val="3014F4FF"/>
    <w:rsid w:val="3054059A"/>
    <w:rsid w:val="30CE08F9"/>
    <w:rsid w:val="30CF7789"/>
    <w:rsid w:val="31122BEE"/>
    <w:rsid w:val="311C1B29"/>
    <w:rsid w:val="31CD3B13"/>
    <w:rsid w:val="32378068"/>
    <w:rsid w:val="3239F2D3"/>
    <w:rsid w:val="32AE9C85"/>
    <w:rsid w:val="33222E84"/>
    <w:rsid w:val="33675F7E"/>
    <w:rsid w:val="33C43B56"/>
    <w:rsid w:val="345BA971"/>
    <w:rsid w:val="34D78C46"/>
    <w:rsid w:val="34E24ACC"/>
    <w:rsid w:val="359B1810"/>
    <w:rsid w:val="35D86421"/>
    <w:rsid w:val="35FE47A6"/>
    <w:rsid w:val="363F31C7"/>
    <w:rsid w:val="3682AC80"/>
    <w:rsid w:val="36B332B0"/>
    <w:rsid w:val="371ABB0A"/>
    <w:rsid w:val="37578A48"/>
    <w:rsid w:val="37934A33"/>
    <w:rsid w:val="38128BD0"/>
    <w:rsid w:val="38196BDF"/>
    <w:rsid w:val="3825DD7B"/>
    <w:rsid w:val="38506510"/>
    <w:rsid w:val="387D53E9"/>
    <w:rsid w:val="38DE4A7F"/>
    <w:rsid w:val="390492C6"/>
    <w:rsid w:val="391BED29"/>
    <w:rsid w:val="39338C0C"/>
    <w:rsid w:val="393DE52B"/>
    <w:rsid w:val="395BDBB1"/>
    <w:rsid w:val="396DB794"/>
    <w:rsid w:val="39713117"/>
    <w:rsid w:val="39802C85"/>
    <w:rsid w:val="3988C4E8"/>
    <w:rsid w:val="3A08A9C4"/>
    <w:rsid w:val="3AA2847D"/>
    <w:rsid w:val="3BAC3107"/>
    <w:rsid w:val="3BC2C080"/>
    <w:rsid w:val="3BEF1B7C"/>
    <w:rsid w:val="3C420822"/>
    <w:rsid w:val="3C4D92F9"/>
    <w:rsid w:val="3C5907A8"/>
    <w:rsid w:val="3C9A68B7"/>
    <w:rsid w:val="3CE21286"/>
    <w:rsid w:val="3CE942E4"/>
    <w:rsid w:val="3DC72452"/>
    <w:rsid w:val="3E269462"/>
    <w:rsid w:val="3F9B7E06"/>
    <w:rsid w:val="3FB76A53"/>
    <w:rsid w:val="3FDCF918"/>
    <w:rsid w:val="4121773A"/>
    <w:rsid w:val="412D3C69"/>
    <w:rsid w:val="41BC9178"/>
    <w:rsid w:val="424C6A1D"/>
    <w:rsid w:val="425F2E5C"/>
    <w:rsid w:val="428D0255"/>
    <w:rsid w:val="42ABB6E8"/>
    <w:rsid w:val="4528A217"/>
    <w:rsid w:val="4564A15C"/>
    <w:rsid w:val="45790BA0"/>
    <w:rsid w:val="4593B096"/>
    <w:rsid w:val="45E61EA7"/>
    <w:rsid w:val="4636E71F"/>
    <w:rsid w:val="4638F6C7"/>
    <w:rsid w:val="4687F5CD"/>
    <w:rsid w:val="4707EB59"/>
    <w:rsid w:val="47B5FAFE"/>
    <w:rsid w:val="47DDD4C2"/>
    <w:rsid w:val="47FB86AE"/>
    <w:rsid w:val="4821A59D"/>
    <w:rsid w:val="4897EC2F"/>
    <w:rsid w:val="48997FC6"/>
    <w:rsid w:val="48E9C6ED"/>
    <w:rsid w:val="49A701E4"/>
    <w:rsid w:val="49B2529B"/>
    <w:rsid w:val="49DBE108"/>
    <w:rsid w:val="49F929D3"/>
    <w:rsid w:val="4A570499"/>
    <w:rsid w:val="4AAF884D"/>
    <w:rsid w:val="4ABFAFE5"/>
    <w:rsid w:val="4B0BAE61"/>
    <w:rsid w:val="4B161B6F"/>
    <w:rsid w:val="4B61BFF7"/>
    <w:rsid w:val="4BA1E4E9"/>
    <w:rsid w:val="4BE17B3F"/>
    <w:rsid w:val="4BE19848"/>
    <w:rsid w:val="4BF01C9C"/>
    <w:rsid w:val="4C3C517C"/>
    <w:rsid w:val="4C567F36"/>
    <w:rsid w:val="4C7771E3"/>
    <w:rsid w:val="4C94FD1E"/>
    <w:rsid w:val="4CA10257"/>
    <w:rsid w:val="4D02BF50"/>
    <w:rsid w:val="4DE6D1E5"/>
    <w:rsid w:val="4E0A3F16"/>
    <w:rsid w:val="4E116535"/>
    <w:rsid w:val="4EFFAD28"/>
    <w:rsid w:val="4F342F26"/>
    <w:rsid w:val="4FA58E8B"/>
    <w:rsid w:val="4FB8579C"/>
    <w:rsid w:val="4FEF0DD9"/>
    <w:rsid w:val="5015BFED"/>
    <w:rsid w:val="50B8A55C"/>
    <w:rsid w:val="512AA7D4"/>
    <w:rsid w:val="5164E533"/>
    <w:rsid w:val="51B2D258"/>
    <w:rsid w:val="522739AF"/>
    <w:rsid w:val="523EE400"/>
    <w:rsid w:val="52CD9928"/>
    <w:rsid w:val="52DBABAB"/>
    <w:rsid w:val="5304EE6C"/>
    <w:rsid w:val="531982CD"/>
    <w:rsid w:val="533E60F3"/>
    <w:rsid w:val="537FD920"/>
    <w:rsid w:val="5389B95C"/>
    <w:rsid w:val="538E1C06"/>
    <w:rsid w:val="53CE817F"/>
    <w:rsid w:val="5454237F"/>
    <w:rsid w:val="54B657AF"/>
    <w:rsid w:val="54D4D752"/>
    <w:rsid w:val="54FCCD4A"/>
    <w:rsid w:val="5537E91B"/>
    <w:rsid w:val="55888202"/>
    <w:rsid w:val="5639D4EB"/>
    <w:rsid w:val="5651238F"/>
    <w:rsid w:val="56529D64"/>
    <w:rsid w:val="56809027"/>
    <w:rsid w:val="56CD68EF"/>
    <w:rsid w:val="56F63F9C"/>
    <w:rsid w:val="573CF8FC"/>
    <w:rsid w:val="573E64B0"/>
    <w:rsid w:val="574F3E93"/>
    <w:rsid w:val="575544CF"/>
    <w:rsid w:val="57A632EF"/>
    <w:rsid w:val="57DC6477"/>
    <w:rsid w:val="57E16D9A"/>
    <w:rsid w:val="5844781D"/>
    <w:rsid w:val="5891C33E"/>
    <w:rsid w:val="58B024B8"/>
    <w:rsid w:val="58B58ED1"/>
    <w:rsid w:val="58D6C81F"/>
    <w:rsid w:val="594B1614"/>
    <w:rsid w:val="596E3EE2"/>
    <w:rsid w:val="596F3EA2"/>
    <w:rsid w:val="597CACEA"/>
    <w:rsid w:val="5A1E4139"/>
    <w:rsid w:val="5A3F74AF"/>
    <w:rsid w:val="5A5C688C"/>
    <w:rsid w:val="5A74B346"/>
    <w:rsid w:val="5ABA9E62"/>
    <w:rsid w:val="5B85B515"/>
    <w:rsid w:val="5B8B3ABB"/>
    <w:rsid w:val="5B8CA4D2"/>
    <w:rsid w:val="5CE72F89"/>
    <w:rsid w:val="5D1D556F"/>
    <w:rsid w:val="5D281AFB"/>
    <w:rsid w:val="5D6D9D80"/>
    <w:rsid w:val="5E5DAF49"/>
    <w:rsid w:val="5E8B1172"/>
    <w:rsid w:val="5F310E8E"/>
    <w:rsid w:val="5F975AD8"/>
    <w:rsid w:val="5FC2DDBA"/>
    <w:rsid w:val="60513F45"/>
    <w:rsid w:val="607360A6"/>
    <w:rsid w:val="609FE955"/>
    <w:rsid w:val="60A53E42"/>
    <w:rsid w:val="60B94E0A"/>
    <w:rsid w:val="60C2FEF0"/>
    <w:rsid w:val="618119BC"/>
    <w:rsid w:val="61AEB033"/>
    <w:rsid w:val="61E41BE0"/>
    <w:rsid w:val="62410EA3"/>
    <w:rsid w:val="6305B8F6"/>
    <w:rsid w:val="632F8CD5"/>
    <w:rsid w:val="636C2CD6"/>
    <w:rsid w:val="6379348D"/>
    <w:rsid w:val="63982D30"/>
    <w:rsid w:val="63B10FEC"/>
    <w:rsid w:val="63B8EA68"/>
    <w:rsid w:val="63DCDF04"/>
    <w:rsid w:val="64A6A001"/>
    <w:rsid w:val="64B7799A"/>
    <w:rsid w:val="6578AF65"/>
    <w:rsid w:val="65C4849E"/>
    <w:rsid w:val="664F98D1"/>
    <w:rsid w:val="6693AC0E"/>
    <w:rsid w:val="66D03306"/>
    <w:rsid w:val="66FB5769"/>
    <w:rsid w:val="6709A516"/>
    <w:rsid w:val="671BD17D"/>
    <w:rsid w:val="67B59BA2"/>
    <w:rsid w:val="68344EAC"/>
    <w:rsid w:val="692F0C38"/>
    <w:rsid w:val="692F8930"/>
    <w:rsid w:val="693E54C9"/>
    <w:rsid w:val="699044F5"/>
    <w:rsid w:val="69E9FDA6"/>
    <w:rsid w:val="6A81C0D0"/>
    <w:rsid w:val="6B1FF96A"/>
    <w:rsid w:val="6B5B4247"/>
    <w:rsid w:val="6B64EBD7"/>
    <w:rsid w:val="6BDB5EC6"/>
    <w:rsid w:val="6BF64861"/>
    <w:rsid w:val="6C8D47ED"/>
    <w:rsid w:val="6CA57F1E"/>
    <w:rsid w:val="6CE7C3B0"/>
    <w:rsid w:val="6D43B15E"/>
    <w:rsid w:val="6D605F2E"/>
    <w:rsid w:val="6EC642DA"/>
    <w:rsid w:val="6ECA2E99"/>
    <w:rsid w:val="6F0BA838"/>
    <w:rsid w:val="6F0D8B38"/>
    <w:rsid w:val="6FF120C9"/>
    <w:rsid w:val="6FF4E780"/>
    <w:rsid w:val="70470F37"/>
    <w:rsid w:val="70695C34"/>
    <w:rsid w:val="70E8C435"/>
    <w:rsid w:val="7111FED9"/>
    <w:rsid w:val="71511AAD"/>
    <w:rsid w:val="718269B3"/>
    <w:rsid w:val="71D64423"/>
    <w:rsid w:val="71FB220F"/>
    <w:rsid w:val="729E48DB"/>
    <w:rsid w:val="72A43786"/>
    <w:rsid w:val="72B557E0"/>
    <w:rsid w:val="72B896F0"/>
    <w:rsid w:val="72E8D27E"/>
    <w:rsid w:val="7325B09A"/>
    <w:rsid w:val="73273DA8"/>
    <w:rsid w:val="7361C764"/>
    <w:rsid w:val="7440BC98"/>
    <w:rsid w:val="74AC42CA"/>
    <w:rsid w:val="758F67A3"/>
    <w:rsid w:val="7674D37A"/>
    <w:rsid w:val="771B0AD8"/>
    <w:rsid w:val="774CB662"/>
    <w:rsid w:val="779F7FD5"/>
    <w:rsid w:val="783240C6"/>
    <w:rsid w:val="79027666"/>
    <w:rsid w:val="794C0BB1"/>
    <w:rsid w:val="79E2BB8F"/>
    <w:rsid w:val="7B171179"/>
    <w:rsid w:val="7BF269F9"/>
    <w:rsid w:val="7BF5C061"/>
    <w:rsid w:val="7C5C384A"/>
    <w:rsid w:val="7C6D9C4F"/>
    <w:rsid w:val="7CFD27A6"/>
    <w:rsid w:val="7D26875B"/>
    <w:rsid w:val="7D7AEE32"/>
    <w:rsid w:val="7D7FEF95"/>
    <w:rsid w:val="7DBFD11D"/>
    <w:rsid w:val="7DD788A7"/>
    <w:rsid w:val="7E1FF6B2"/>
    <w:rsid w:val="7EB56E01"/>
    <w:rsid w:val="7EFA0603"/>
    <w:rsid w:val="7FC1A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CB3A4"/>
  <w15:docId w15:val="{578BEC4F-5681-4CF7-B1B5-79FBA3EB2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hAnsi="Tahoma" w:eastAsia="Tahoma" w:cs="Tahoma"/>
        <w:lang w:val="en-GB" w:eastAsia="en-GB" w:bidi="ar-SA"/>
      </w:rPr>
    </w:rPrDefault>
    <w:pPrDefault>
      <w:pPr>
        <w:spacing w:after="240" w:line="30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51055"/>
    <w:rPr>
      <w:rFonts w:asciiTheme="minorHAnsi" w:hAnsiTheme="minorHAnsi"/>
      <w:snapToGrid w:val="0"/>
      <w:sz w:val="24"/>
    </w:rPr>
  </w:style>
  <w:style w:type="paragraph" w:styleId="Heading1">
    <w:name w:val="heading 1"/>
    <w:uiPriority w:val="9"/>
    <w:qFormat/>
    <w:rsid w:val="00390A8B"/>
    <w:pPr>
      <w:numPr>
        <w:numId w:val="4"/>
      </w:numPr>
      <w:outlineLvl w:val="0"/>
    </w:pPr>
    <w:rPr>
      <w:rFonts w:asciiTheme="majorHAnsi" w:hAnsiTheme="majorHAnsi"/>
      <w:b/>
      <w:snapToGrid w:val="0"/>
      <w:sz w:val="28"/>
      <w:szCs w:val="22"/>
    </w:rPr>
  </w:style>
  <w:style w:type="paragraph" w:styleId="Heading2">
    <w:name w:val="heading 2"/>
    <w:basedOn w:val="Heading1"/>
    <w:next w:val="BaseStyle"/>
    <w:uiPriority w:val="9"/>
    <w:unhideWhenUsed/>
    <w:qFormat/>
    <w:rsid w:val="00936152"/>
    <w:pPr>
      <w:keepNext/>
      <w:numPr>
        <w:ilvl w:val="1"/>
      </w:numPr>
      <w:outlineLvl w:val="1"/>
    </w:pPr>
  </w:style>
  <w:style w:type="paragraph" w:styleId="Heading3">
    <w:name w:val="heading 3"/>
    <w:basedOn w:val="Heading2"/>
    <w:next w:val="BaseStyle"/>
    <w:uiPriority w:val="9"/>
    <w:semiHidden/>
    <w:unhideWhenUsed/>
    <w:qFormat/>
    <w:rsid w:val="00936152"/>
    <w:pPr>
      <w:numPr>
        <w:ilvl w:val="2"/>
      </w:numPr>
      <w:outlineLvl w:val="2"/>
    </w:pPr>
  </w:style>
  <w:style w:type="paragraph" w:styleId="Heading4">
    <w:name w:val="heading 4"/>
    <w:basedOn w:val="Heading3"/>
    <w:next w:val="BaseStyle"/>
    <w:uiPriority w:val="9"/>
    <w:semiHidden/>
    <w:unhideWhenUsed/>
    <w:qFormat/>
    <w:rsid w:val="00936152"/>
    <w:pPr>
      <w:numPr>
        <w:ilvl w:val="3"/>
      </w:numPr>
      <w:outlineLvl w:val="3"/>
    </w:pPr>
  </w:style>
  <w:style w:type="paragraph" w:styleId="Heading5">
    <w:name w:val="heading 5"/>
    <w:basedOn w:val="Heading4"/>
    <w:next w:val="BaseStyle"/>
    <w:uiPriority w:val="9"/>
    <w:unhideWhenUsed/>
    <w:qFormat/>
    <w:rsid w:val="00936152"/>
    <w:pPr>
      <w:numPr>
        <w:ilvl w:val="4"/>
      </w:numPr>
      <w:outlineLvl w:val="4"/>
    </w:pPr>
  </w:style>
  <w:style w:type="paragraph" w:styleId="Heading6">
    <w:name w:val="heading 6"/>
    <w:basedOn w:val="Index5"/>
    <w:next w:val="BaseStyle"/>
    <w:uiPriority w:val="9"/>
    <w:semiHidden/>
    <w:unhideWhenUsed/>
    <w:qFormat/>
    <w:rsid w:val="00936152"/>
    <w:pPr>
      <w:keepNext/>
      <w:numPr>
        <w:ilvl w:val="5"/>
        <w:numId w:val="4"/>
      </w:numPr>
      <w:spacing w:after="120"/>
      <w:jc w:val="left"/>
      <w:outlineLvl w:val="5"/>
    </w:pPr>
    <w:rPr>
      <w:snapToGrid/>
    </w:rPr>
  </w:style>
  <w:style w:type="paragraph" w:styleId="Heading7">
    <w:name w:val="heading 7"/>
    <w:basedOn w:val="Heading6"/>
    <w:next w:val="BaseStyle"/>
    <w:qFormat/>
    <w:rsid w:val="00936152"/>
    <w:pPr>
      <w:numPr>
        <w:ilvl w:val="6"/>
      </w:numPr>
      <w:spacing w:after="240"/>
      <w:outlineLvl w:val="6"/>
    </w:pPr>
  </w:style>
  <w:style w:type="paragraph" w:styleId="Heading8">
    <w:name w:val="heading 8"/>
    <w:basedOn w:val="Heading7"/>
    <w:next w:val="BaseStyle"/>
    <w:qFormat/>
    <w:rsid w:val="00936152"/>
    <w:pPr>
      <w:numPr>
        <w:ilvl w:val="7"/>
      </w:numPr>
      <w:outlineLvl w:val="7"/>
    </w:pPr>
  </w:style>
  <w:style w:type="paragraph" w:styleId="Heading9">
    <w:name w:val="heading 9"/>
    <w:basedOn w:val="Heading8"/>
    <w:next w:val="BaseStyle"/>
    <w:qFormat/>
    <w:rsid w:val="00936152"/>
    <w:pPr>
      <w:numPr>
        <w:ilvl w:val="8"/>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seStyle" w:customStyle="1">
    <w:name w:val="BaseStyle"/>
    <w:basedOn w:val="Normal"/>
    <w:link w:val="BaseStyleChar"/>
    <w:rsid w:val="00936152"/>
  </w:style>
  <w:style w:type="paragraph" w:styleId="Bullets" w:customStyle="1">
    <w:name w:val="Bullets"/>
    <w:basedOn w:val="BaseStyle"/>
    <w:rsid w:val="00936152"/>
    <w:pPr>
      <w:tabs>
        <w:tab w:val="num" w:pos="720"/>
      </w:tabs>
      <w:ind w:left="720" w:hanging="720"/>
    </w:pPr>
  </w:style>
  <w:style w:type="paragraph" w:styleId="Head1" w:customStyle="1">
    <w:name w:val="Head1"/>
    <w:basedOn w:val="BaseStyle"/>
    <w:rsid w:val="00936152"/>
    <w:pPr>
      <w:keepNext/>
    </w:pPr>
    <w:rPr>
      <w:b/>
      <w:caps/>
    </w:rPr>
  </w:style>
  <w:style w:type="paragraph" w:styleId="Head2" w:customStyle="1">
    <w:name w:val="Head2"/>
    <w:basedOn w:val="BaseStyle"/>
    <w:link w:val="Head2Char"/>
    <w:rsid w:val="00936152"/>
    <w:pPr>
      <w:keepNext/>
      <w:ind w:left="851"/>
    </w:pPr>
    <w:rPr>
      <w:b/>
      <w:caps/>
    </w:rPr>
  </w:style>
  <w:style w:type="paragraph" w:styleId="Head3" w:customStyle="1">
    <w:name w:val="Head3"/>
    <w:basedOn w:val="BaseStyle"/>
    <w:rsid w:val="00936152"/>
    <w:pPr>
      <w:keepNext/>
      <w:ind w:left="1702"/>
    </w:pPr>
    <w:rPr>
      <w:b/>
      <w:caps/>
    </w:rPr>
  </w:style>
  <w:style w:type="paragraph" w:styleId="Head4" w:customStyle="1">
    <w:name w:val="Head4"/>
    <w:basedOn w:val="BaseStyle"/>
    <w:rsid w:val="00936152"/>
    <w:pPr>
      <w:keepNext/>
      <w:ind w:left="2553"/>
    </w:pPr>
    <w:rPr>
      <w:b/>
      <w:caps/>
    </w:rPr>
  </w:style>
  <w:style w:type="paragraph" w:styleId="Head5" w:customStyle="1">
    <w:name w:val="Head5"/>
    <w:basedOn w:val="BaseStyle"/>
    <w:rsid w:val="00936152"/>
    <w:pPr>
      <w:keepNext/>
      <w:ind w:left="3404"/>
    </w:pPr>
    <w:rPr>
      <w:b/>
      <w:caps/>
    </w:rPr>
  </w:style>
  <w:style w:type="paragraph" w:styleId="HeadCentre" w:customStyle="1">
    <w:name w:val="HeadCentre"/>
    <w:basedOn w:val="BaseStyle"/>
    <w:rsid w:val="00936152"/>
    <w:pPr>
      <w:keepNext/>
      <w:jc w:val="center"/>
    </w:pPr>
    <w:rPr>
      <w:b/>
      <w:caps/>
    </w:rPr>
  </w:style>
  <w:style w:type="paragraph" w:styleId="Lista" w:customStyle="1">
    <w:name w:val="List(a)"/>
    <w:basedOn w:val="BaseStyle"/>
    <w:rsid w:val="00936152"/>
    <w:pPr>
      <w:tabs>
        <w:tab w:val="num" w:pos="720"/>
      </w:tabs>
      <w:ind w:left="720" w:hanging="720"/>
    </w:pPr>
  </w:style>
  <w:style w:type="paragraph" w:styleId="Blockpara" w:customStyle="1">
    <w:name w:val="Block para"/>
    <w:basedOn w:val="BaseStyle"/>
    <w:rsid w:val="00936152"/>
    <w:pPr>
      <w:tabs>
        <w:tab w:val="num" w:pos="720"/>
      </w:tabs>
      <w:ind w:left="720" w:hanging="720"/>
    </w:pPr>
  </w:style>
  <w:style w:type="paragraph" w:styleId="List1" w:customStyle="1">
    <w:name w:val="List1."/>
    <w:basedOn w:val="BaseStyle"/>
    <w:rsid w:val="00936152"/>
    <w:pPr>
      <w:tabs>
        <w:tab w:val="num" w:pos="720"/>
      </w:tabs>
      <w:ind w:left="720" w:hanging="720"/>
    </w:pPr>
  </w:style>
  <w:style w:type="paragraph" w:styleId="Paragraph1" w:customStyle="1">
    <w:name w:val="Paragraph 1"/>
    <w:basedOn w:val="BaseStyle"/>
    <w:next w:val="Paragraph11"/>
    <w:rsid w:val="00936152"/>
    <w:pPr>
      <w:keepNext/>
      <w:tabs>
        <w:tab w:val="num" w:pos="720"/>
      </w:tabs>
      <w:ind w:left="720" w:hanging="720"/>
      <w:outlineLvl w:val="0"/>
    </w:pPr>
    <w:rPr>
      <w:b/>
      <w:caps/>
      <w:snapToGrid/>
      <w:color w:val="000000"/>
      <w:szCs w:val="22"/>
    </w:rPr>
  </w:style>
  <w:style w:type="paragraph" w:styleId="Paragraph11" w:customStyle="1">
    <w:name w:val="Paragraph 1.1"/>
    <w:basedOn w:val="BaseStyle"/>
    <w:rsid w:val="00936152"/>
    <w:pPr>
      <w:tabs>
        <w:tab w:val="num" w:pos="1440"/>
      </w:tabs>
      <w:ind w:left="1440" w:hanging="720"/>
      <w:outlineLvl w:val="1"/>
    </w:pPr>
    <w:rPr>
      <w:snapToGrid/>
      <w:color w:val="000000"/>
      <w:szCs w:val="22"/>
    </w:rPr>
  </w:style>
  <w:style w:type="paragraph" w:styleId="Paragraph111" w:customStyle="1">
    <w:name w:val="Paragraph 1.1.1"/>
    <w:basedOn w:val="BaseStyle"/>
    <w:rsid w:val="00936152"/>
    <w:pPr>
      <w:tabs>
        <w:tab w:val="num" w:pos="2160"/>
      </w:tabs>
      <w:ind w:left="2160" w:hanging="720"/>
      <w:outlineLvl w:val="2"/>
    </w:pPr>
    <w:rPr>
      <w:snapToGrid/>
      <w:color w:val="000000"/>
      <w:szCs w:val="22"/>
    </w:rPr>
  </w:style>
  <w:style w:type="paragraph" w:styleId="Paragraph1111" w:customStyle="1">
    <w:name w:val="Paragraph 1.1.1.1"/>
    <w:basedOn w:val="BaseStyle"/>
    <w:rsid w:val="00936152"/>
    <w:pPr>
      <w:tabs>
        <w:tab w:val="num" w:pos="2880"/>
      </w:tabs>
      <w:ind w:left="2880" w:hanging="720"/>
      <w:outlineLvl w:val="3"/>
    </w:pPr>
    <w:rPr>
      <w:snapToGrid/>
      <w:color w:val="000000"/>
      <w:szCs w:val="22"/>
    </w:rPr>
  </w:style>
  <w:style w:type="paragraph" w:styleId="Paragraph1111a" w:customStyle="1">
    <w:name w:val="Paragraph 1.1.1.1(a)"/>
    <w:basedOn w:val="BaseStyle"/>
    <w:rsid w:val="00936152"/>
    <w:pPr>
      <w:tabs>
        <w:tab w:val="num" w:pos="3600"/>
      </w:tabs>
      <w:ind w:left="3600" w:hanging="720"/>
      <w:outlineLvl w:val="4"/>
    </w:pPr>
    <w:rPr>
      <w:szCs w:val="22"/>
    </w:rPr>
  </w:style>
  <w:style w:type="paragraph" w:styleId="Parties" w:customStyle="1">
    <w:name w:val="Parties"/>
    <w:basedOn w:val="BaseStyle"/>
    <w:autoRedefine/>
    <w:rsid w:val="00936152"/>
    <w:pPr>
      <w:tabs>
        <w:tab w:val="num" w:pos="720"/>
      </w:tabs>
      <w:ind w:left="720" w:hanging="720"/>
    </w:pPr>
    <w:rPr>
      <w:snapToGrid/>
    </w:rPr>
  </w:style>
  <w:style w:type="paragraph" w:styleId="Recitals" w:customStyle="1">
    <w:name w:val="Recitals"/>
    <w:basedOn w:val="BaseStyle"/>
    <w:autoRedefine/>
    <w:rsid w:val="00396186"/>
    <w:pPr>
      <w:numPr>
        <w:ilvl w:val="1"/>
        <w:numId w:val="3"/>
      </w:numPr>
    </w:pPr>
    <w:rPr>
      <w:snapToGrid/>
    </w:rPr>
  </w:style>
  <w:style w:type="paragraph" w:styleId="Schedblockpara1" w:customStyle="1">
    <w:name w:val="Sched block para 1"/>
    <w:basedOn w:val="BaseStyle"/>
    <w:rsid w:val="00936152"/>
    <w:pPr>
      <w:tabs>
        <w:tab w:val="num" w:pos="360"/>
        <w:tab w:val="num" w:pos="720"/>
      </w:tabs>
    </w:pPr>
    <w:rPr>
      <w:rFonts w:ascii="Arial" w:hAnsi="Arial"/>
    </w:rPr>
  </w:style>
  <w:style w:type="paragraph" w:styleId="Schedblockpara11" w:customStyle="1">
    <w:name w:val="Sched block para 1.1"/>
    <w:basedOn w:val="BaseStyle"/>
    <w:rsid w:val="00936152"/>
    <w:pPr>
      <w:tabs>
        <w:tab w:val="num" w:pos="360"/>
        <w:tab w:val="num" w:pos="1440"/>
      </w:tabs>
    </w:pPr>
    <w:rPr>
      <w:rFonts w:ascii="Arial" w:hAnsi="Arial"/>
    </w:rPr>
  </w:style>
  <w:style w:type="paragraph" w:styleId="Schedblockpara111" w:customStyle="1">
    <w:name w:val="Sched block para 1.1.1"/>
    <w:basedOn w:val="BaseStyle"/>
    <w:rsid w:val="00936152"/>
    <w:pPr>
      <w:tabs>
        <w:tab w:val="num" w:pos="360"/>
        <w:tab w:val="num" w:pos="2160"/>
      </w:tabs>
    </w:pPr>
    <w:rPr>
      <w:rFonts w:ascii="Arial" w:hAnsi="Arial"/>
    </w:rPr>
  </w:style>
  <w:style w:type="paragraph" w:styleId="Schedblockpara111a" w:customStyle="1">
    <w:name w:val="Sched block para 1.1.1 (a)"/>
    <w:basedOn w:val="BaseStyle"/>
    <w:rsid w:val="00936152"/>
    <w:pPr>
      <w:tabs>
        <w:tab w:val="num" w:pos="360"/>
        <w:tab w:val="num" w:pos="2880"/>
      </w:tabs>
    </w:pPr>
    <w:rPr>
      <w:rFonts w:ascii="Arial" w:hAnsi="Arial"/>
    </w:rPr>
  </w:style>
  <w:style w:type="paragraph" w:styleId="Schedpara1" w:customStyle="1">
    <w:name w:val="Sched para 1"/>
    <w:basedOn w:val="BaseStyle"/>
    <w:next w:val="Schedpara11"/>
    <w:rsid w:val="00936152"/>
    <w:pPr>
      <w:keepNext/>
      <w:tabs>
        <w:tab w:val="num" w:pos="851"/>
      </w:tabs>
      <w:ind w:left="851" w:hanging="851"/>
      <w:outlineLvl w:val="0"/>
    </w:pPr>
    <w:rPr>
      <w:b/>
      <w:caps/>
    </w:rPr>
  </w:style>
  <w:style w:type="paragraph" w:styleId="Schedpara11" w:customStyle="1">
    <w:name w:val="Sched para 1.1"/>
    <w:basedOn w:val="BaseStyle"/>
    <w:link w:val="Schedpara11Char"/>
    <w:rsid w:val="00936152"/>
    <w:pPr>
      <w:tabs>
        <w:tab w:val="num" w:pos="1440"/>
      </w:tabs>
      <w:ind w:left="1440" w:hanging="720"/>
      <w:outlineLvl w:val="1"/>
    </w:pPr>
  </w:style>
  <w:style w:type="paragraph" w:styleId="Schedpara111" w:customStyle="1">
    <w:name w:val="Sched para 1.1.1"/>
    <w:basedOn w:val="BaseStyle"/>
    <w:rsid w:val="00936152"/>
    <w:pPr>
      <w:tabs>
        <w:tab w:val="num" w:pos="1701"/>
      </w:tabs>
      <w:ind w:left="1701" w:hanging="850"/>
      <w:outlineLvl w:val="2"/>
    </w:pPr>
  </w:style>
  <w:style w:type="paragraph" w:styleId="Schedpara1111" w:customStyle="1">
    <w:name w:val="Sched para 1.1.1.1"/>
    <w:basedOn w:val="BaseStyle"/>
    <w:rsid w:val="00936152"/>
    <w:pPr>
      <w:tabs>
        <w:tab w:val="num" w:pos="1701"/>
      </w:tabs>
      <w:ind w:left="1701" w:hanging="850"/>
      <w:outlineLvl w:val="3"/>
    </w:pPr>
  </w:style>
  <w:style w:type="paragraph" w:styleId="Schedpara1111a" w:customStyle="1">
    <w:name w:val="Sched para 1.1.1.1(a)"/>
    <w:basedOn w:val="BaseStyle"/>
    <w:rsid w:val="00936152"/>
    <w:pPr>
      <w:tabs>
        <w:tab w:val="num" w:pos="2552"/>
      </w:tabs>
      <w:ind w:left="2552" w:hanging="851"/>
      <w:outlineLvl w:val="4"/>
    </w:pPr>
  </w:style>
  <w:style w:type="paragraph" w:styleId="SchedulePartHeading" w:customStyle="1">
    <w:name w:val="Schedule Part Heading"/>
    <w:basedOn w:val="BaseStyle"/>
    <w:next w:val="Normal"/>
    <w:autoRedefine/>
    <w:rsid w:val="00C34338"/>
    <w:pPr>
      <w:keepNext/>
      <w:jc w:val="center"/>
    </w:pPr>
    <w:rPr>
      <w:b/>
      <w:caps/>
    </w:rPr>
  </w:style>
  <w:style w:type="paragraph" w:styleId="Text1" w:customStyle="1">
    <w:name w:val="Text1"/>
    <w:basedOn w:val="BaseStyle"/>
    <w:rsid w:val="00936152"/>
  </w:style>
  <w:style w:type="paragraph" w:styleId="Text2" w:customStyle="1">
    <w:name w:val="Text2"/>
    <w:basedOn w:val="BaseStyle"/>
    <w:rsid w:val="00936152"/>
    <w:pPr>
      <w:ind w:left="851"/>
    </w:pPr>
  </w:style>
  <w:style w:type="paragraph" w:styleId="Text3" w:customStyle="1">
    <w:name w:val="Text3"/>
    <w:basedOn w:val="BaseStyle"/>
    <w:rsid w:val="00936152"/>
    <w:pPr>
      <w:ind w:left="1701"/>
    </w:pPr>
  </w:style>
  <w:style w:type="paragraph" w:styleId="Text4" w:customStyle="1">
    <w:name w:val="Text4"/>
    <w:basedOn w:val="BaseStyle"/>
    <w:rsid w:val="00936152"/>
    <w:pPr>
      <w:ind w:left="2552"/>
    </w:pPr>
  </w:style>
  <w:style w:type="paragraph" w:styleId="Text5" w:customStyle="1">
    <w:name w:val="Text5"/>
    <w:basedOn w:val="BaseStyle"/>
    <w:rsid w:val="00936152"/>
    <w:pPr>
      <w:ind w:left="3402"/>
    </w:pPr>
  </w:style>
  <w:style w:type="paragraph" w:styleId="TOC1">
    <w:name w:val="toc 1"/>
    <w:basedOn w:val="BaseStyle"/>
    <w:next w:val="BaseStyle"/>
    <w:uiPriority w:val="39"/>
    <w:rsid w:val="00936152"/>
    <w:pPr>
      <w:tabs>
        <w:tab w:val="right" w:leader="dot" w:pos="9639"/>
      </w:tabs>
      <w:spacing w:after="120"/>
      <w:ind w:left="851" w:hanging="851"/>
      <w:jc w:val="left"/>
    </w:pPr>
    <w:rPr>
      <w:caps/>
    </w:rPr>
  </w:style>
  <w:style w:type="paragraph" w:styleId="TOC2">
    <w:name w:val="toc 2"/>
    <w:basedOn w:val="BaseStyle"/>
    <w:next w:val="BaseStyle"/>
    <w:uiPriority w:val="39"/>
    <w:rsid w:val="00936152"/>
    <w:pPr>
      <w:tabs>
        <w:tab w:val="left" w:pos="851"/>
        <w:tab w:val="right" w:leader="dot" w:pos="9639"/>
      </w:tabs>
      <w:suppressAutoHyphens/>
      <w:spacing w:after="120"/>
      <w:ind w:left="1702" w:hanging="851"/>
      <w:jc w:val="left"/>
    </w:pPr>
    <w:rPr>
      <w:caps/>
      <w:snapToGrid/>
    </w:rPr>
  </w:style>
  <w:style w:type="paragraph" w:styleId="TOC3">
    <w:name w:val="toc 3"/>
    <w:basedOn w:val="BaseStyle"/>
    <w:next w:val="BaseStyle"/>
    <w:uiPriority w:val="39"/>
    <w:rsid w:val="00936152"/>
    <w:pPr>
      <w:tabs>
        <w:tab w:val="left" w:pos="851"/>
        <w:tab w:val="right" w:leader="dot" w:pos="9639"/>
      </w:tabs>
      <w:suppressAutoHyphens/>
      <w:spacing w:after="120"/>
      <w:ind w:left="851"/>
    </w:pPr>
    <w:rPr>
      <w:smallCaps/>
    </w:rPr>
  </w:style>
  <w:style w:type="paragraph" w:styleId="TOC4">
    <w:name w:val="toc 4"/>
    <w:basedOn w:val="Normal"/>
    <w:next w:val="Normal"/>
    <w:rsid w:val="00936152"/>
    <w:pPr>
      <w:tabs>
        <w:tab w:val="left" w:pos="851"/>
        <w:tab w:val="left" w:pos="1701"/>
        <w:tab w:val="right" w:leader="dot" w:pos="9072"/>
      </w:tabs>
      <w:spacing w:after="120"/>
      <w:ind w:left="3402" w:hanging="1701"/>
    </w:pPr>
    <w:rPr>
      <w:noProof/>
    </w:rPr>
  </w:style>
  <w:style w:type="paragraph" w:styleId="TOC5">
    <w:name w:val="toc 5"/>
    <w:basedOn w:val="Normal"/>
    <w:next w:val="Normal"/>
    <w:rsid w:val="00936152"/>
    <w:pPr>
      <w:tabs>
        <w:tab w:val="right" w:leader="dot" w:pos="9072"/>
      </w:tabs>
      <w:suppressAutoHyphens/>
      <w:spacing w:after="120"/>
      <w:ind w:left="851" w:hanging="851"/>
    </w:pPr>
  </w:style>
  <w:style w:type="paragraph" w:styleId="TOC6">
    <w:name w:val="toc 6"/>
    <w:basedOn w:val="Normal"/>
    <w:next w:val="Normal"/>
    <w:autoRedefine/>
    <w:rsid w:val="00936152"/>
    <w:pPr>
      <w:ind w:left="1000"/>
    </w:pPr>
    <w:rPr>
      <w:rFonts w:ascii="Arial" w:hAnsi="Arial"/>
    </w:rPr>
  </w:style>
  <w:style w:type="paragraph" w:styleId="TOC7">
    <w:name w:val="toc 7"/>
    <w:basedOn w:val="Normal"/>
    <w:next w:val="Normal"/>
    <w:autoRedefine/>
    <w:rsid w:val="00936152"/>
    <w:pPr>
      <w:ind w:left="1200"/>
    </w:pPr>
    <w:rPr>
      <w:rFonts w:ascii="Arial" w:hAnsi="Arial"/>
    </w:rPr>
  </w:style>
  <w:style w:type="paragraph" w:styleId="TOC8">
    <w:name w:val="toc 8"/>
    <w:basedOn w:val="Normal"/>
    <w:next w:val="Normal"/>
    <w:autoRedefine/>
    <w:rsid w:val="00936152"/>
    <w:pPr>
      <w:ind w:left="1400"/>
    </w:pPr>
    <w:rPr>
      <w:rFonts w:ascii="Arial" w:hAnsi="Arial"/>
    </w:rPr>
  </w:style>
  <w:style w:type="paragraph" w:styleId="TOC9">
    <w:name w:val="toc 9"/>
    <w:basedOn w:val="Normal"/>
    <w:next w:val="Normal"/>
    <w:autoRedefine/>
    <w:rsid w:val="00936152"/>
    <w:pPr>
      <w:ind w:left="1600"/>
    </w:pPr>
    <w:rPr>
      <w:rFonts w:ascii="Arial" w:hAnsi="Arial"/>
    </w:rPr>
  </w:style>
  <w:style w:type="paragraph" w:styleId="BlockSchedA" w:customStyle="1">
    <w:name w:val="Block Sched A"/>
    <w:basedOn w:val="BaseStyle"/>
    <w:next w:val="Normal"/>
    <w:rsid w:val="00936152"/>
    <w:pPr>
      <w:tabs>
        <w:tab w:val="num" w:pos="720"/>
      </w:tabs>
      <w:ind w:left="720" w:hanging="720"/>
    </w:pPr>
    <w:rPr>
      <w:b/>
      <w:caps/>
    </w:rPr>
  </w:style>
  <w:style w:type="paragraph" w:styleId="Footer">
    <w:name w:val="footer"/>
    <w:basedOn w:val="Normal"/>
    <w:link w:val="FooterChar"/>
    <w:uiPriority w:val="99"/>
    <w:rsid w:val="00936152"/>
    <w:pPr>
      <w:tabs>
        <w:tab w:val="center" w:pos="4153"/>
        <w:tab w:val="right" w:pos="8306"/>
      </w:tabs>
    </w:pPr>
  </w:style>
  <w:style w:type="paragraph" w:styleId="Header">
    <w:name w:val="header"/>
    <w:basedOn w:val="Normal"/>
    <w:rsid w:val="00936152"/>
    <w:pPr>
      <w:tabs>
        <w:tab w:val="center" w:pos="4153"/>
        <w:tab w:val="right" w:pos="8306"/>
      </w:tabs>
    </w:pPr>
  </w:style>
  <w:style w:type="character" w:styleId="Hyperlink">
    <w:name w:val="Hyperlink"/>
    <w:uiPriority w:val="99"/>
    <w:rsid w:val="00936152"/>
    <w:rPr>
      <w:color w:val="0000FF"/>
      <w:u w:val="single"/>
    </w:rPr>
  </w:style>
  <w:style w:type="character" w:styleId="PageNumber">
    <w:name w:val="page number"/>
    <w:basedOn w:val="DefaultParagraphFont"/>
    <w:rsid w:val="00936152"/>
  </w:style>
  <w:style w:type="paragraph" w:styleId="Listi" w:customStyle="1">
    <w:name w:val="List(i)"/>
    <w:basedOn w:val="BaseStyle"/>
    <w:rsid w:val="00936152"/>
    <w:pPr>
      <w:tabs>
        <w:tab w:val="num" w:pos="720"/>
      </w:tabs>
      <w:ind w:left="720" w:hanging="720"/>
    </w:pPr>
  </w:style>
  <w:style w:type="paragraph" w:styleId="EMW1" w:customStyle="1">
    <w:name w:val="EMW1"/>
    <w:basedOn w:val="Normal"/>
    <w:rsid w:val="00936152"/>
    <w:pPr>
      <w:tabs>
        <w:tab w:val="num" w:pos="1440"/>
      </w:tabs>
      <w:spacing w:line="360" w:lineRule="auto"/>
      <w:ind w:left="1440" w:hanging="720"/>
    </w:pPr>
  </w:style>
  <w:style w:type="paragraph" w:styleId="EMWHeading" w:customStyle="1">
    <w:name w:val="EMWHeading"/>
    <w:basedOn w:val="EMW1"/>
    <w:rsid w:val="00936152"/>
    <w:rPr>
      <w:b/>
      <w:caps/>
    </w:rPr>
  </w:style>
  <w:style w:type="paragraph" w:styleId="ScheduleMainHeading" w:customStyle="1">
    <w:name w:val="Schedule Main Heading"/>
    <w:basedOn w:val="BaseStyle"/>
    <w:next w:val="Normal"/>
    <w:autoRedefine/>
    <w:rsid w:val="009327CF"/>
    <w:pPr>
      <w:keepNext/>
      <w:pageBreakBefore/>
      <w:tabs>
        <w:tab w:val="num" w:pos="720"/>
      </w:tabs>
      <w:ind w:left="720" w:hanging="720"/>
      <w:jc w:val="center"/>
    </w:pPr>
    <w:rPr>
      <w:b/>
      <w:caps/>
    </w:rPr>
  </w:style>
  <w:style w:type="paragraph" w:styleId="AppendixMainHeading" w:customStyle="1">
    <w:name w:val="Appendix Main Heading"/>
    <w:rsid w:val="00A10223"/>
    <w:pPr>
      <w:tabs>
        <w:tab w:val="num" w:pos="720"/>
      </w:tabs>
      <w:ind w:left="720" w:hanging="720"/>
      <w:jc w:val="center"/>
    </w:pPr>
    <w:rPr>
      <w:b/>
      <w:caps/>
      <w:snapToGrid w:val="0"/>
    </w:rPr>
  </w:style>
  <w:style w:type="paragraph" w:styleId="EMW10" w:customStyle="1">
    <w:name w:val="EMW(1)"/>
    <w:next w:val="BlockText"/>
    <w:rsid w:val="00936152"/>
    <w:pPr>
      <w:tabs>
        <w:tab w:val="num" w:pos="720"/>
      </w:tabs>
      <w:spacing w:line="360" w:lineRule="auto"/>
      <w:ind w:left="720" w:hanging="720"/>
    </w:pPr>
    <w:rPr>
      <w:rFonts w:ascii="CG Omega" w:hAnsi="CG Omega"/>
      <w:noProof/>
      <w:sz w:val="22"/>
    </w:rPr>
  </w:style>
  <w:style w:type="paragraph" w:styleId="EMWDefinition" w:customStyle="1">
    <w:name w:val="EMWDefinition"/>
    <w:basedOn w:val="Normal"/>
    <w:rsid w:val="00936152"/>
    <w:pPr>
      <w:tabs>
        <w:tab w:val="num" w:pos="720"/>
      </w:tabs>
      <w:ind w:left="720" w:hanging="720"/>
    </w:pPr>
  </w:style>
  <w:style w:type="paragraph" w:styleId="ScheduleNumber1" w:customStyle="1">
    <w:name w:val="ScheduleNumber1"/>
    <w:rsid w:val="00936152"/>
    <w:pPr>
      <w:tabs>
        <w:tab w:val="num" w:pos="720"/>
      </w:tabs>
      <w:spacing w:line="360" w:lineRule="auto"/>
      <w:ind w:left="720" w:hanging="720"/>
    </w:pPr>
    <w:rPr>
      <w:rFonts w:ascii="CG Omega" w:hAnsi="CG Omega"/>
      <w:noProof/>
      <w:sz w:val="22"/>
    </w:rPr>
  </w:style>
  <w:style w:type="paragraph" w:styleId="BlockText">
    <w:name w:val="Block Text"/>
    <w:basedOn w:val="Normal"/>
    <w:rsid w:val="00936152"/>
    <w:pPr>
      <w:spacing w:after="120"/>
      <w:ind w:left="1440" w:right="1440"/>
    </w:pPr>
  </w:style>
  <w:style w:type="character" w:styleId="BaseStyleChar" w:customStyle="1">
    <w:name w:val="BaseStyle Char"/>
    <w:link w:val="BaseStyle"/>
    <w:rsid w:val="00936152"/>
    <w:rPr>
      <w:rFonts w:ascii="Tahoma" w:hAnsi="Tahoma"/>
      <w:snapToGrid w:val="0"/>
      <w:lang w:val="en-GB" w:eastAsia="en-US" w:bidi="ar-SA"/>
    </w:rPr>
  </w:style>
  <w:style w:type="character" w:styleId="Schedpara11Char" w:customStyle="1">
    <w:name w:val="Sched para 1.1 Char"/>
    <w:link w:val="Schedpara11"/>
    <w:rsid w:val="00936152"/>
    <w:rPr>
      <w:snapToGrid w:val="0"/>
    </w:rPr>
  </w:style>
  <w:style w:type="table" w:styleId="TableGrid">
    <w:name w:val="Table Grid"/>
    <w:basedOn w:val="TableNormal"/>
    <w:uiPriority w:val="59"/>
    <w:rsid w:val="00936152"/>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lockparagraph1" w:customStyle="1">
    <w:name w:val="Block paragraph 1"/>
    <w:basedOn w:val="BaseStyle"/>
    <w:rsid w:val="00936152"/>
    <w:pPr>
      <w:tabs>
        <w:tab w:val="num" w:pos="720"/>
      </w:tabs>
      <w:ind w:left="720" w:hanging="720"/>
    </w:pPr>
  </w:style>
  <w:style w:type="paragraph" w:styleId="Blockparagraph11" w:customStyle="1">
    <w:name w:val="Block paragraph 1.1"/>
    <w:basedOn w:val="BaseStyle"/>
    <w:rsid w:val="00936152"/>
    <w:pPr>
      <w:tabs>
        <w:tab w:val="num" w:pos="851"/>
        <w:tab w:val="num" w:pos="1440"/>
      </w:tabs>
      <w:ind w:left="851" w:hanging="851"/>
    </w:pPr>
  </w:style>
  <w:style w:type="paragraph" w:styleId="Blockparagraph111" w:customStyle="1">
    <w:name w:val="Block paragraph 1.1.1"/>
    <w:basedOn w:val="BaseStyle"/>
    <w:rsid w:val="00936152"/>
    <w:pPr>
      <w:tabs>
        <w:tab w:val="num" w:pos="1701"/>
        <w:tab w:val="num" w:pos="2160"/>
      </w:tabs>
      <w:ind w:left="1701" w:hanging="850"/>
    </w:pPr>
  </w:style>
  <w:style w:type="paragraph" w:styleId="Blockparagraph111ai" w:customStyle="1">
    <w:name w:val="Block paragraph 1.1.1 (a)(i)"/>
    <w:basedOn w:val="BaseStyle"/>
    <w:rsid w:val="00936152"/>
    <w:pPr>
      <w:tabs>
        <w:tab w:val="num" w:pos="2552"/>
        <w:tab w:val="num" w:pos="3600"/>
      </w:tabs>
      <w:ind w:left="2552" w:hanging="720"/>
    </w:pPr>
    <w:rPr>
      <w:rFonts w:ascii="Arial" w:hAnsi="Arial"/>
    </w:rPr>
  </w:style>
  <w:style w:type="paragraph" w:styleId="Blockparagraph111aiA" w:customStyle="1">
    <w:name w:val="Block paragraph 1.1.1 (a)(i)(A)"/>
    <w:basedOn w:val="BaseStyle"/>
    <w:rsid w:val="00936152"/>
    <w:pPr>
      <w:tabs>
        <w:tab w:val="num" w:pos="4253"/>
        <w:tab w:val="num" w:pos="4320"/>
      </w:tabs>
      <w:ind w:left="4253" w:hanging="851"/>
    </w:pPr>
    <w:rPr>
      <w:rFonts w:ascii="Arial" w:hAnsi="Arial"/>
    </w:rPr>
  </w:style>
  <w:style w:type="paragraph" w:styleId="Blockparagraph1111" w:customStyle="1">
    <w:name w:val="Block paragraph 1.1.1.1"/>
    <w:basedOn w:val="BaseStyle"/>
    <w:rsid w:val="00936152"/>
    <w:pPr>
      <w:tabs>
        <w:tab w:val="num" w:pos="1701"/>
        <w:tab w:val="num" w:pos="2880"/>
      </w:tabs>
      <w:ind w:left="1701" w:hanging="720"/>
    </w:pPr>
  </w:style>
  <w:style w:type="paragraph" w:styleId="Schedblockpara111ai" w:customStyle="1">
    <w:name w:val="Sched block para 1.1.1 (a)(i)"/>
    <w:basedOn w:val="BaseStyle"/>
    <w:rsid w:val="00936152"/>
    <w:pPr>
      <w:tabs>
        <w:tab w:val="num" w:pos="360"/>
        <w:tab w:val="num" w:pos="3600"/>
      </w:tabs>
    </w:pPr>
    <w:rPr>
      <w:rFonts w:ascii="Arial" w:hAnsi="Arial"/>
    </w:rPr>
  </w:style>
  <w:style w:type="paragraph" w:styleId="Schedblockpara111aiA" w:customStyle="1">
    <w:name w:val="Sched block para 1.1.1 (a)(i)(A)"/>
    <w:basedOn w:val="BaseStyle"/>
    <w:rsid w:val="00936152"/>
    <w:pPr>
      <w:tabs>
        <w:tab w:val="num" w:pos="360"/>
        <w:tab w:val="num" w:pos="4320"/>
      </w:tabs>
    </w:pPr>
    <w:rPr>
      <w:rFonts w:ascii="Arial" w:hAnsi="Arial"/>
    </w:rPr>
  </w:style>
  <w:style w:type="paragraph" w:styleId="Schedpara111aiA" w:customStyle="1">
    <w:name w:val="Sched para 1.1.1 (a)(i)(A)"/>
    <w:basedOn w:val="BaseStyle"/>
    <w:rsid w:val="00936152"/>
    <w:pPr>
      <w:tabs>
        <w:tab w:val="num" w:pos="5104"/>
      </w:tabs>
      <w:ind w:left="5104" w:hanging="851"/>
      <w:outlineLvl w:val="5"/>
    </w:pPr>
    <w:rPr>
      <w:rFonts w:ascii="Arial" w:hAnsi="Arial"/>
    </w:rPr>
  </w:style>
  <w:style w:type="paragraph" w:styleId="PageXofY" w:customStyle="1">
    <w:name w:val="Page X of Y"/>
    <w:rsid w:val="00936152"/>
    <w:rPr>
      <w:sz w:val="24"/>
      <w:szCs w:val="24"/>
    </w:rPr>
  </w:style>
  <w:style w:type="paragraph" w:styleId="BlockParagraph10" w:customStyle="1">
    <w:name w:val="Block Paragraph 1"/>
    <w:basedOn w:val="Heading1"/>
    <w:next w:val="BlockParagraph110"/>
    <w:rsid w:val="00936152"/>
    <w:pPr>
      <w:numPr>
        <w:numId w:val="0"/>
      </w:numPr>
      <w:tabs>
        <w:tab w:val="num" w:pos="720"/>
      </w:tabs>
      <w:ind w:left="720" w:hanging="720"/>
    </w:pPr>
  </w:style>
  <w:style w:type="paragraph" w:styleId="BlockParagraph110" w:customStyle="1">
    <w:name w:val="Block Paragraph 1.1"/>
    <w:basedOn w:val="Heading2"/>
    <w:rsid w:val="00936152"/>
    <w:pPr>
      <w:numPr>
        <w:ilvl w:val="0"/>
        <w:numId w:val="0"/>
      </w:numPr>
      <w:tabs>
        <w:tab w:val="num" w:pos="1440"/>
      </w:tabs>
      <w:ind w:left="1440" w:hanging="720"/>
    </w:pPr>
  </w:style>
  <w:style w:type="paragraph" w:styleId="BlockParagraph1110" w:customStyle="1">
    <w:name w:val="Block Paragraph 1.1.1"/>
    <w:basedOn w:val="Heading3"/>
    <w:rsid w:val="00936152"/>
    <w:pPr>
      <w:numPr>
        <w:ilvl w:val="0"/>
        <w:numId w:val="0"/>
      </w:numPr>
      <w:tabs>
        <w:tab w:val="num" w:pos="2160"/>
      </w:tabs>
      <w:ind w:left="2160" w:hanging="720"/>
    </w:pPr>
  </w:style>
  <w:style w:type="paragraph" w:styleId="BlockParagraph11110" w:customStyle="1">
    <w:name w:val="Block Paragraph 1.1.1.1"/>
    <w:basedOn w:val="Heading4"/>
    <w:rsid w:val="00936152"/>
    <w:pPr>
      <w:numPr>
        <w:ilvl w:val="0"/>
        <w:numId w:val="0"/>
      </w:numPr>
      <w:tabs>
        <w:tab w:val="num" w:pos="2880"/>
      </w:tabs>
      <w:ind w:left="2880" w:hanging="720"/>
    </w:pPr>
  </w:style>
  <w:style w:type="paragraph" w:styleId="BlockParagraph1111a" w:customStyle="1">
    <w:name w:val="Block Paragraph 1.1.1.1(a)"/>
    <w:rsid w:val="00936152"/>
    <w:pPr>
      <w:tabs>
        <w:tab w:val="num" w:pos="720"/>
      </w:tabs>
      <w:ind w:left="720" w:hanging="720"/>
    </w:pPr>
    <w:rPr>
      <w:snapToGrid w:val="0"/>
    </w:rPr>
  </w:style>
  <w:style w:type="paragraph" w:styleId="SchedblockPara10" w:customStyle="1">
    <w:name w:val="Sched block Para 1"/>
    <w:basedOn w:val="Normal"/>
    <w:rsid w:val="00936152"/>
    <w:pPr>
      <w:tabs>
        <w:tab w:val="num" w:pos="720"/>
      </w:tabs>
      <w:ind w:left="720" w:hanging="720"/>
    </w:pPr>
  </w:style>
  <w:style w:type="paragraph" w:styleId="SchedblockPara110" w:customStyle="1">
    <w:name w:val="Sched block Para 1.1"/>
    <w:basedOn w:val="Normal"/>
    <w:rsid w:val="00936152"/>
    <w:pPr>
      <w:tabs>
        <w:tab w:val="num" w:pos="1440"/>
      </w:tabs>
      <w:ind w:left="1440" w:hanging="720"/>
    </w:pPr>
  </w:style>
  <w:style w:type="paragraph" w:styleId="SchedblockPara1110" w:customStyle="1">
    <w:name w:val="Sched block Para 1.1.1"/>
    <w:basedOn w:val="Normal"/>
    <w:rsid w:val="00936152"/>
    <w:pPr>
      <w:tabs>
        <w:tab w:val="num" w:pos="2160"/>
      </w:tabs>
      <w:ind w:left="2160" w:hanging="720"/>
    </w:pPr>
  </w:style>
  <w:style w:type="paragraph" w:styleId="Schedblockpara1111" w:customStyle="1">
    <w:name w:val="Sched block para 1.1.1.1"/>
    <w:basedOn w:val="Normal"/>
    <w:rsid w:val="00936152"/>
    <w:pPr>
      <w:tabs>
        <w:tab w:val="num" w:pos="2880"/>
      </w:tabs>
      <w:ind w:left="2880" w:hanging="720"/>
    </w:pPr>
  </w:style>
  <w:style w:type="paragraph" w:styleId="SchedblockPara1111a" w:customStyle="1">
    <w:name w:val="Sched block Para 1.1.1.1(a)"/>
    <w:basedOn w:val="Normal"/>
    <w:rsid w:val="00936152"/>
    <w:pPr>
      <w:tabs>
        <w:tab w:val="num" w:pos="720"/>
        <w:tab w:val="left" w:pos="851"/>
      </w:tabs>
      <w:ind w:left="720" w:hanging="720"/>
    </w:pPr>
  </w:style>
  <w:style w:type="paragraph" w:styleId="SchedBlockPara12" w:customStyle="1">
    <w:name w:val="Sched Block Para 1"/>
    <w:next w:val="Normal"/>
    <w:rsid w:val="00936152"/>
    <w:pPr>
      <w:tabs>
        <w:tab w:val="num" w:pos="720"/>
      </w:tabs>
      <w:ind w:left="720" w:hanging="720"/>
    </w:pPr>
    <w:rPr>
      <w:snapToGrid w:val="0"/>
    </w:rPr>
  </w:style>
  <w:style w:type="paragraph" w:styleId="SchedBlockPara112" w:customStyle="1">
    <w:name w:val="Sched Block Para 1.1"/>
    <w:basedOn w:val="BaseStyle"/>
    <w:rsid w:val="00936152"/>
    <w:pPr>
      <w:tabs>
        <w:tab w:val="num" w:pos="1440"/>
      </w:tabs>
      <w:ind w:left="1440" w:hanging="720"/>
    </w:pPr>
  </w:style>
  <w:style w:type="paragraph" w:styleId="SchedBlockPara1112" w:customStyle="1">
    <w:name w:val="Sched Block Para 1.1.1"/>
    <w:basedOn w:val="BaseStyle"/>
    <w:rsid w:val="00936152"/>
    <w:pPr>
      <w:tabs>
        <w:tab w:val="num" w:pos="2160"/>
      </w:tabs>
      <w:ind w:left="2160" w:hanging="720"/>
    </w:pPr>
  </w:style>
  <w:style w:type="paragraph" w:styleId="SchedBlockPara11110" w:customStyle="1">
    <w:name w:val="Sched Block Para 1.1.1.1"/>
    <w:basedOn w:val="BaseStyle"/>
    <w:rsid w:val="00936152"/>
    <w:pPr>
      <w:tabs>
        <w:tab w:val="num" w:pos="2880"/>
      </w:tabs>
      <w:ind w:left="2880" w:hanging="720"/>
    </w:pPr>
  </w:style>
  <w:style w:type="paragraph" w:styleId="SchedBlockPara1111a0" w:customStyle="1">
    <w:name w:val="Sched Block Para 1.1.1.1(a)"/>
    <w:basedOn w:val="BaseStyle"/>
    <w:rsid w:val="00936152"/>
    <w:pPr>
      <w:tabs>
        <w:tab w:val="num" w:pos="720"/>
      </w:tabs>
      <w:ind w:left="720" w:hanging="720"/>
    </w:pPr>
  </w:style>
  <w:style w:type="paragraph" w:styleId="SCHEDPARA10" w:customStyle="1">
    <w:name w:val="SCHED PARA 1"/>
    <w:basedOn w:val="Heading1"/>
    <w:next w:val="Normal"/>
    <w:rsid w:val="00936152"/>
    <w:pPr>
      <w:keepNext/>
      <w:numPr>
        <w:numId w:val="0"/>
      </w:numPr>
      <w:tabs>
        <w:tab w:val="num" w:pos="720"/>
      </w:tabs>
      <w:ind w:left="720" w:hanging="720"/>
    </w:pPr>
    <w:rPr>
      <w:b w:val="0"/>
      <w:caps/>
    </w:rPr>
  </w:style>
  <w:style w:type="paragraph" w:styleId="SchedPara110" w:customStyle="1">
    <w:name w:val="Sched Para 1.1"/>
    <w:basedOn w:val="Heading2"/>
    <w:rsid w:val="00936152"/>
    <w:pPr>
      <w:keepNext w:val="0"/>
      <w:numPr>
        <w:ilvl w:val="0"/>
        <w:numId w:val="0"/>
      </w:numPr>
      <w:tabs>
        <w:tab w:val="num" w:pos="1440"/>
      </w:tabs>
      <w:ind w:left="1440" w:hanging="720"/>
    </w:pPr>
  </w:style>
  <w:style w:type="paragraph" w:styleId="SchedPara1110" w:customStyle="1">
    <w:name w:val="Sched Para 1.1.1"/>
    <w:basedOn w:val="Heading3"/>
    <w:rsid w:val="00936152"/>
    <w:pPr>
      <w:keepNext w:val="0"/>
      <w:numPr>
        <w:ilvl w:val="0"/>
        <w:numId w:val="0"/>
      </w:numPr>
      <w:tabs>
        <w:tab w:val="num" w:pos="2160"/>
      </w:tabs>
      <w:ind w:left="1702" w:hanging="851"/>
    </w:pPr>
  </w:style>
  <w:style w:type="paragraph" w:styleId="Index5">
    <w:name w:val="index 5"/>
    <w:basedOn w:val="Normal"/>
    <w:next w:val="Normal"/>
    <w:autoRedefine/>
    <w:rsid w:val="00936152"/>
    <w:pPr>
      <w:ind w:left="1000" w:hanging="200"/>
    </w:pPr>
  </w:style>
  <w:style w:type="paragraph" w:styleId="SchedPara11110" w:customStyle="1">
    <w:name w:val="Sched Para 1.1.1.1"/>
    <w:basedOn w:val="Heading4"/>
    <w:rsid w:val="00936152"/>
    <w:pPr>
      <w:keepNext w:val="0"/>
      <w:numPr>
        <w:ilvl w:val="0"/>
        <w:numId w:val="0"/>
      </w:numPr>
      <w:tabs>
        <w:tab w:val="num" w:pos="2880"/>
      </w:tabs>
      <w:ind w:left="1702" w:hanging="851"/>
    </w:pPr>
  </w:style>
  <w:style w:type="paragraph" w:styleId="SchedPara1111a0" w:customStyle="1">
    <w:name w:val="Sched Para 1.1.1.1(a)"/>
    <w:basedOn w:val="Normal"/>
    <w:rsid w:val="00936152"/>
    <w:pPr>
      <w:keepNext/>
      <w:tabs>
        <w:tab w:val="num" w:pos="3600"/>
      </w:tabs>
      <w:ind w:left="3600" w:hanging="720"/>
      <w:jc w:val="left"/>
      <w:outlineLvl w:val="4"/>
    </w:pPr>
  </w:style>
  <w:style w:type="paragraph" w:styleId="Paragraph11111" w:customStyle="1">
    <w:name w:val="Paragraph 1.1.1.1.1"/>
    <w:basedOn w:val="BaseStyle"/>
    <w:autoRedefine/>
    <w:rsid w:val="00936152"/>
    <w:pPr>
      <w:tabs>
        <w:tab w:val="num" w:pos="360"/>
        <w:tab w:val="num" w:pos="3600"/>
      </w:tabs>
    </w:pPr>
  </w:style>
  <w:style w:type="paragraph" w:styleId="Caption">
    <w:name w:val="caption"/>
    <w:basedOn w:val="Normal"/>
    <w:next w:val="Normal"/>
    <w:uiPriority w:val="35"/>
    <w:semiHidden/>
    <w:unhideWhenUsed/>
    <w:qFormat/>
    <w:rsid w:val="00102505"/>
    <w:pPr>
      <w:spacing w:after="200" w:line="240" w:lineRule="auto"/>
    </w:pPr>
    <w:rPr>
      <w:i/>
      <w:iCs/>
      <w:color w:val="1F497D" w:themeColor="text2"/>
      <w:sz w:val="18"/>
      <w:szCs w:val="18"/>
    </w:rPr>
  </w:style>
  <w:style w:type="character" w:styleId="Defterm" w:customStyle="1">
    <w:name w:val="Defterm"/>
    <w:rsid w:val="00936152"/>
    <w:rPr>
      <w:rFonts w:cs="Tahoma"/>
      <w:b/>
    </w:rPr>
  </w:style>
  <w:style w:type="paragraph" w:styleId="EMWDefinitiona" w:customStyle="1">
    <w:name w:val="EMWDefinition (a)"/>
    <w:basedOn w:val="EMWDefinition"/>
    <w:rsid w:val="00936152"/>
    <w:pPr>
      <w:numPr>
        <w:ilvl w:val="1"/>
      </w:numPr>
      <w:tabs>
        <w:tab w:val="num" w:pos="720"/>
      </w:tabs>
      <w:ind w:left="1702" w:hanging="851"/>
    </w:pPr>
  </w:style>
  <w:style w:type="paragraph" w:styleId="EMWDefinitioni" w:customStyle="1">
    <w:name w:val="EMWDefinition (i)"/>
    <w:basedOn w:val="EMWDefinition"/>
    <w:rsid w:val="00936152"/>
    <w:pPr>
      <w:numPr>
        <w:ilvl w:val="2"/>
      </w:numPr>
      <w:tabs>
        <w:tab w:val="num" w:pos="720"/>
      </w:tabs>
      <w:ind w:left="720" w:hanging="720"/>
    </w:pPr>
  </w:style>
  <w:style w:type="paragraph" w:styleId="Bullet1" w:customStyle="1">
    <w:name w:val="Bullet1"/>
    <w:basedOn w:val="Normal"/>
    <w:rsid w:val="00714D51"/>
    <w:pPr>
      <w:tabs>
        <w:tab w:val="num" w:pos="720"/>
      </w:tabs>
      <w:spacing w:line="300" w:lineRule="atLeast"/>
      <w:ind w:left="720" w:hanging="720"/>
    </w:pPr>
    <w:rPr>
      <w:snapToGrid/>
    </w:rPr>
  </w:style>
  <w:style w:type="paragraph" w:styleId="Bullet1continued" w:customStyle="1">
    <w:name w:val="Bullet1continued"/>
    <w:basedOn w:val="Bullet1"/>
    <w:rsid w:val="00714D51"/>
    <w:pPr>
      <w:tabs>
        <w:tab w:val="clear" w:pos="720"/>
      </w:tabs>
      <w:ind w:left="357" w:firstLine="0"/>
    </w:pPr>
  </w:style>
  <w:style w:type="paragraph" w:styleId="Bullet2" w:customStyle="1">
    <w:name w:val="Bullet2"/>
    <w:basedOn w:val="Bullet1"/>
    <w:rsid w:val="00714D51"/>
    <w:pPr>
      <w:spacing w:line="240" w:lineRule="auto"/>
    </w:pPr>
  </w:style>
  <w:style w:type="paragraph" w:styleId="Bullet2continued" w:customStyle="1">
    <w:name w:val="Bullet2continued"/>
    <w:basedOn w:val="Bullet2"/>
    <w:rsid w:val="00714D51"/>
    <w:pPr>
      <w:tabs>
        <w:tab w:val="clear" w:pos="720"/>
      </w:tabs>
      <w:ind w:left="1077" w:firstLine="0"/>
    </w:pPr>
  </w:style>
  <w:style w:type="paragraph" w:styleId="Bullet3" w:customStyle="1">
    <w:name w:val="Bullet3"/>
    <w:basedOn w:val="Bullet2"/>
    <w:rsid w:val="00714D51"/>
  </w:style>
  <w:style w:type="paragraph" w:styleId="Bullet3continued" w:customStyle="1">
    <w:name w:val="Bullet3continued"/>
    <w:basedOn w:val="Bullet3"/>
    <w:rsid w:val="00714D51"/>
    <w:pPr>
      <w:tabs>
        <w:tab w:val="clear" w:pos="720"/>
      </w:tabs>
      <w:ind w:left="1945" w:firstLine="0"/>
    </w:pPr>
  </w:style>
  <w:style w:type="paragraph" w:styleId="Bullet4" w:customStyle="1">
    <w:name w:val="Bullet4"/>
    <w:basedOn w:val="Bullet3"/>
    <w:rsid w:val="00714D51"/>
  </w:style>
  <w:style w:type="paragraph" w:styleId="Bullet4continued" w:customStyle="1">
    <w:name w:val="Bullet4continued"/>
    <w:basedOn w:val="Bullet4"/>
    <w:rsid w:val="00714D51"/>
    <w:pPr>
      <w:tabs>
        <w:tab w:val="clear" w:pos="720"/>
      </w:tabs>
      <w:ind w:left="2676" w:firstLine="0"/>
    </w:pPr>
  </w:style>
  <w:style w:type="paragraph" w:styleId="Bullet5" w:customStyle="1">
    <w:name w:val="Bullet5"/>
    <w:basedOn w:val="Bullet4"/>
    <w:rsid w:val="00714D51"/>
  </w:style>
  <w:style w:type="paragraph" w:styleId="Bullet5continued" w:customStyle="1">
    <w:name w:val="Bullet5continued"/>
    <w:basedOn w:val="Bullet5"/>
    <w:rsid w:val="00714D51"/>
    <w:pPr>
      <w:tabs>
        <w:tab w:val="clear" w:pos="720"/>
      </w:tabs>
      <w:ind w:left="3385" w:firstLine="0"/>
    </w:pPr>
  </w:style>
  <w:style w:type="character" w:styleId="FooterChar" w:customStyle="1">
    <w:name w:val="Footer Char"/>
    <w:link w:val="Footer"/>
    <w:uiPriority w:val="99"/>
    <w:rsid w:val="007471CA"/>
    <w:rPr>
      <w:rFonts w:ascii="Tahoma" w:hAnsi="Tahoma"/>
      <w:snapToGrid w:val="0"/>
      <w:lang w:eastAsia="en-US"/>
    </w:rPr>
  </w:style>
  <w:style w:type="paragraph" w:styleId="BalloonText">
    <w:name w:val="Balloon Text"/>
    <w:basedOn w:val="Normal"/>
    <w:link w:val="BalloonTextChar"/>
    <w:rsid w:val="0088649D"/>
    <w:pPr>
      <w:spacing w:after="0" w:line="240" w:lineRule="auto"/>
    </w:pPr>
    <w:rPr>
      <w:sz w:val="16"/>
      <w:szCs w:val="16"/>
    </w:rPr>
  </w:style>
  <w:style w:type="character" w:styleId="BalloonTextChar" w:customStyle="1">
    <w:name w:val="Balloon Text Char"/>
    <w:basedOn w:val="DefaultParagraphFont"/>
    <w:link w:val="BalloonText"/>
    <w:rsid w:val="0088649D"/>
    <w:rPr>
      <w:rFonts w:ascii="Tahoma" w:hAnsi="Tahoma" w:cs="Tahoma"/>
      <w:snapToGrid w:val="0"/>
      <w:sz w:val="16"/>
      <w:szCs w:val="16"/>
      <w:lang w:val="en-GB"/>
    </w:rPr>
  </w:style>
  <w:style w:type="paragraph" w:styleId="NormalWeb">
    <w:name w:val="Normal (Web)"/>
    <w:basedOn w:val="Normal"/>
    <w:uiPriority w:val="99"/>
    <w:unhideWhenUsed/>
    <w:rsid w:val="008077A6"/>
    <w:pPr>
      <w:spacing w:before="100" w:beforeAutospacing="1" w:after="100" w:afterAutospacing="1" w:line="240" w:lineRule="auto"/>
      <w:jc w:val="left"/>
    </w:pPr>
    <w:rPr>
      <w:rFonts w:ascii="Times New Roman" w:hAnsi="Times New Roman"/>
      <w:snapToGrid/>
      <w:szCs w:val="24"/>
    </w:rPr>
  </w:style>
  <w:style w:type="character" w:styleId="CommentReference">
    <w:name w:val="annotation reference"/>
    <w:basedOn w:val="DefaultParagraphFont"/>
    <w:rsid w:val="003A4E53"/>
    <w:rPr>
      <w:sz w:val="16"/>
      <w:szCs w:val="16"/>
    </w:rPr>
  </w:style>
  <w:style w:type="paragraph" w:styleId="CommentText">
    <w:name w:val="annotation text"/>
    <w:basedOn w:val="Normal"/>
    <w:link w:val="CommentTextChar"/>
    <w:rsid w:val="003A4E53"/>
    <w:pPr>
      <w:spacing w:line="240" w:lineRule="auto"/>
    </w:pPr>
  </w:style>
  <w:style w:type="character" w:styleId="CommentTextChar" w:customStyle="1">
    <w:name w:val="Comment Text Char"/>
    <w:basedOn w:val="DefaultParagraphFont"/>
    <w:link w:val="CommentText"/>
    <w:rsid w:val="003A4E53"/>
    <w:rPr>
      <w:rFonts w:ascii="Tahoma" w:hAnsi="Tahoma"/>
      <w:snapToGrid w:val="0"/>
      <w:lang w:val="en-GB"/>
    </w:rPr>
  </w:style>
  <w:style w:type="paragraph" w:styleId="CommentSubject">
    <w:name w:val="annotation subject"/>
    <w:basedOn w:val="CommentText"/>
    <w:next w:val="CommentText"/>
    <w:link w:val="CommentSubjectChar"/>
    <w:rsid w:val="003A4E53"/>
    <w:rPr>
      <w:b/>
      <w:bCs/>
    </w:rPr>
  </w:style>
  <w:style w:type="character" w:styleId="CommentSubjectChar" w:customStyle="1">
    <w:name w:val="Comment Subject Char"/>
    <w:basedOn w:val="CommentTextChar"/>
    <w:link w:val="CommentSubject"/>
    <w:rsid w:val="003A4E53"/>
    <w:rPr>
      <w:rFonts w:ascii="Tahoma" w:hAnsi="Tahoma"/>
      <w:b/>
      <w:bCs/>
      <w:snapToGrid w:val="0"/>
      <w:lang w:val="en-GB"/>
    </w:rPr>
  </w:style>
  <w:style w:type="paragraph" w:styleId="Revision">
    <w:name w:val="Revision"/>
    <w:hidden/>
    <w:rsid w:val="003A4E53"/>
    <w:rPr>
      <w:snapToGrid w:val="0"/>
    </w:rPr>
  </w:style>
  <w:style w:type="paragraph" w:styleId="Subtitle">
    <w:name w:val="Subtitle"/>
    <w:basedOn w:val="Normal"/>
    <w:next w:val="Normal"/>
    <w:link w:val="SubtitleChar"/>
    <w:uiPriority w:val="11"/>
    <w:qFormat/>
    <w:pPr>
      <w:spacing w:after="120" w:line="240" w:lineRule="auto"/>
    </w:pPr>
    <w:rPr>
      <w:rFonts w:ascii="Arial" w:hAnsi="Arial" w:eastAsia="Arial" w:cs="Arial"/>
      <w:b/>
      <w:u w:val="single"/>
    </w:rPr>
  </w:style>
  <w:style w:type="character" w:styleId="SubtitleChar" w:customStyle="1">
    <w:name w:val="Subtitle Char"/>
    <w:basedOn w:val="DefaultParagraphFont"/>
    <w:link w:val="Subtitle"/>
    <w:uiPriority w:val="11"/>
    <w:rsid w:val="00364452"/>
    <w:rPr>
      <w:rFonts w:ascii="Arial" w:hAnsi="Arial" w:eastAsia="Calibri" w:cs="Arial"/>
      <w:b/>
      <w:bCs/>
      <w:u w:val="single"/>
      <w:lang w:val="en-GB"/>
    </w:rPr>
  </w:style>
  <w:style w:type="paragraph" w:styleId="Default" w:customStyle="1">
    <w:name w:val="Default"/>
    <w:rsid w:val="0006346C"/>
    <w:pPr>
      <w:autoSpaceDE w:val="0"/>
      <w:autoSpaceDN w:val="0"/>
      <w:adjustRightInd w:val="0"/>
    </w:pPr>
    <w:rPr>
      <w:rFonts w:ascii="Cambria" w:hAnsi="Cambria" w:cs="Cambria"/>
      <w:color w:val="000000"/>
      <w:sz w:val="24"/>
      <w:szCs w:val="24"/>
    </w:rPr>
  </w:style>
  <w:style w:type="paragraph" w:styleId="ListParagraph">
    <w:name w:val="List Paragraph"/>
    <w:basedOn w:val="Normal"/>
    <w:uiPriority w:val="34"/>
    <w:qFormat/>
    <w:rsid w:val="000E579C"/>
    <w:pPr>
      <w:spacing w:after="120" w:line="240" w:lineRule="auto"/>
      <w:ind w:left="720"/>
      <w:contextualSpacing/>
      <w:jc w:val="left"/>
    </w:pPr>
    <w:rPr>
      <w:snapToGrid/>
      <w:szCs w:val="24"/>
    </w:rPr>
  </w:style>
  <w:style w:type="character" w:styleId="UnresolvedMention1" w:customStyle="1">
    <w:name w:val="Unresolved Mention1"/>
    <w:basedOn w:val="DefaultParagraphFont"/>
    <w:uiPriority w:val="99"/>
    <w:semiHidden/>
    <w:unhideWhenUsed/>
    <w:rsid w:val="007A3DD9"/>
    <w:rPr>
      <w:color w:val="808080"/>
      <w:shd w:val="clear" w:color="auto" w:fill="E6E6E6"/>
    </w:rPr>
  </w:style>
  <w:style w:type="paragraph" w:styleId="NoSpacing">
    <w:name w:val="No Spacing"/>
    <w:uiPriority w:val="1"/>
    <w:qFormat/>
    <w:rsid w:val="00860404"/>
    <w:rPr>
      <w:rFonts w:asciiTheme="minorHAnsi" w:hAnsiTheme="minorHAnsi" w:eastAsiaTheme="minorHAnsi" w:cstheme="minorBidi"/>
      <w:sz w:val="22"/>
      <w:szCs w:val="22"/>
    </w:rPr>
  </w:style>
  <w:style w:type="table" w:styleId="a" w:customStyle="1">
    <w:basedOn w:val="TableNormal"/>
    <w:pPr>
      <w:widowControl w:val="0"/>
    </w:pPr>
    <w:tblPr>
      <w:tblStyleRowBandSize w:val="1"/>
      <w:tblStyleColBandSize w:val="1"/>
    </w:tblPr>
  </w:style>
  <w:style w:type="table" w:styleId="a0" w:customStyle="1">
    <w:basedOn w:val="TableNormal"/>
    <w:pPr>
      <w:widowControl w:val="0"/>
    </w:pPr>
    <w:tblPr>
      <w:tblStyleRowBandSize w:val="1"/>
      <w:tblStyleColBandSize w:val="1"/>
    </w:tblPr>
  </w:style>
  <w:style w:type="table" w:styleId="a1" w:customStyle="1">
    <w:basedOn w:val="TableNormal"/>
    <w:pPr>
      <w:widowControl w:val="0"/>
    </w:pPr>
    <w:tblPr>
      <w:tblStyleRowBandSize w:val="1"/>
      <w:tblStyleColBandSize w:val="1"/>
    </w:tblPr>
  </w:style>
  <w:style w:type="table" w:styleId="a2" w:customStyle="1">
    <w:basedOn w:val="TableNormal"/>
    <w:pPr>
      <w:widowControl w:val="0"/>
    </w:pPr>
    <w:tblPr>
      <w:tblStyleRowBandSize w:val="1"/>
      <w:tblStyleColBandSize w:val="1"/>
    </w:tblPr>
  </w:style>
  <w:style w:type="table" w:styleId="a3" w:customStyle="1">
    <w:basedOn w:val="TableNormal"/>
    <w:pPr>
      <w:widowControl w:val="0"/>
    </w:pPr>
    <w:tblPr>
      <w:tblStyleRowBandSize w:val="1"/>
      <w:tblStyleColBandSize w:val="1"/>
    </w:tblPr>
  </w:style>
  <w:style w:type="table" w:styleId="a4" w:customStyle="1">
    <w:basedOn w:val="TableNormal"/>
    <w:pPr>
      <w:widowControl w:val="0"/>
    </w:pPr>
    <w:tblPr>
      <w:tblStyleRowBandSize w:val="1"/>
      <w:tblStyleColBandSize w:val="1"/>
    </w:tblPr>
  </w:style>
  <w:style w:type="table" w:styleId="a5" w:customStyle="1">
    <w:basedOn w:val="TableNormal"/>
    <w:pPr>
      <w:widowControl w:val="0"/>
    </w:pPr>
    <w:tblPr>
      <w:tblStyleRowBandSize w:val="1"/>
      <w:tblStyleColBandSize w:val="1"/>
    </w:tblPr>
  </w:style>
  <w:style w:type="table" w:styleId="a6" w:customStyle="1">
    <w:basedOn w:val="TableNormal"/>
    <w:pPr>
      <w:widowControl w:val="0"/>
    </w:pPr>
    <w:tblPr>
      <w:tblStyleRowBandSize w:val="1"/>
      <w:tblStyleColBandSize w:val="1"/>
    </w:tblPr>
  </w:style>
  <w:style w:type="paragraph" w:styleId="Appendix1" w:customStyle="1">
    <w:name w:val="Appendix 1"/>
    <w:basedOn w:val="Heading1"/>
    <w:next w:val="NormalIndent"/>
    <w:link w:val="Appendix1Char"/>
    <w:qFormat/>
    <w:rsid w:val="009B4AAD"/>
    <w:pPr>
      <w:numPr>
        <w:numId w:val="5"/>
      </w:numPr>
      <w:spacing w:before="120" w:after="120"/>
    </w:pPr>
    <w:rPr>
      <w:b w:val="0"/>
    </w:rPr>
  </w:style>
  <w:style w:type="paragraph" w:styleId="TableParagraph" w:customStyle="1">
    <w:name w:val="Table Paragraph"/>
    <w:basedOn w:val="Normal"/>
    <w:uiPriority w:val="1"/>
    <w:qFormat/>
    <w:rsid w:val="00851055"/>
    <w:pPr>
      <w:widowControl w:val="0"/>
      <w:autoSpaceDE w:val="0"/>
      <w:autoSpaceDN w:val="0"/>
      <w:spacing w:before="63" w:after="0" w:line="240" w:lineRule="auto"/>
      <w:ind w:left="103"/>
      <w:jc w:val="left"/>
    </w:pPr>
    <w:rPr>
      <w:rFonts w:ascii="Calibri" w:hAnsi="Calibri" w:eastAsia="Calibri" w:cs="Calibri"/>
      <w:snapToGrid/>
      <w:sz w:val="22"/>
      <w:szCs w:val="22"/>
      <w:lang w:val="en-US" w:eastAsia="en-US"/>
    </w:rPr>
  </w:style>
  <w:style w:type="character" w:styleId="Head2Char" w:customStyle="1">
    <w:name w:val="Head2 Char"/>
    <w:basedOn w:val="BaseStyleChar"/>
    <w:link w:val="Head2"/>
    <w:rsid w:val="00A3768D"/>
    <w:rPr>
      <w:rFonts w:asciiTheme="minorHAnsi" w:hAnsiTheme="minorHAnsi"/>
      <w:b/>
      <w:caps/>
      <w:snapToGrid w:val="0"/>
      <w:sz w:val="24"/>
      <w:lang w:val="en-GB" w:eastAsia="en-US" w:bidi="ar-SA"/>
    </w:rPr>
  </w:style>
  <w:style w:type="character" w:styleId="Appendix1Char" w:customStyle="1">
    <w:name w:val="Appendix 1 Char"/>
    <w:basedOn w:val="Head2Char"/>
    <w:link w:val="Appendix1"/>
    <w:rsid w:val="00F61BC9"/>
    <w:rPr>
      <w:rFonts w:asciiTheme="majorHAnsi" w:hAnsiTheme="majorHAnsi"/>
      <w:b w:val="0"/>
      <w:caps w:val="0"/>
      <w:snapToGrid w:val="0"/>
      <w:sz w:val="28"/>
      <w:szCs w:val="22"/>
      <w:lang w:val="en-GB" w:eastAsia="en-US" w:bidi="ar-SA"/>
    </w:rPr>
  </w:style>
  <w:style w:type="paragraph" w:styleId="NormalIndent">
    <w:name w:val="Normal Indent"/>
    <w:basedOn w:val="Normal"/>
    <w:uiPriority w:val="99"/>
    <w:semiHidden/>
    <w:unhideWhenUsed/>
    <w:rsid w:val="00A3768D"/>
    <w:pPr>
      <w:ind w:left="720"/>
    </w:pPr>
  </w:style>
  <w:style w:type="paragraph" w:styleId="TOCHeading">
    <w:name w:val="TOC Heading"/>
    <w:basedOn w:val="Heading1"/>
    <w:next w:val="Normal"/>
    <w:uiPriority w:val="39"/>
    <w:unhideWhenUsed/>
    <w:qFormat/>
    <w:rsid w:val="00894EC2"/>
    <w:pPr>
      <w:keepNext/>
      <w:keepLines/>
      <w:numPr>
        <w:numId w:val="0"/>
      </w:numPr>
      <w:spacing w:before="240" w:after="0" w:line="259" w:lineRule="auto"/>
      <w:jc w:val="left"/>
      <w:outlineLvl w:val="9"/>
    </w:pPr>
    <w:rPr>
      <w:rFonts w:eastAsiaTheme="majorEastAsia" w:cstheme="majorBidi"/>
      <w:b w:val="0"/>
      <w:snapToGrid/>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microsoft.com/office/2020/10/relationships/intelligence" Target="intelligence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iFW/5mrTqg8P/3a//vW4o+5vCMg==">AMUW2mVTPVij4Xqzg4bFC5B6W5v28xcIZraN5T/SvD9JOGnMbeSrPABAWXk/9KDH5wqFfCre5BTjU7u74kx9Exlxg32g8Yz3APMX0zkjaCgNPwwQeQe1d8Qu915Pq6SMro3oLLngUFAEY/F6neVSsCutOIarpX905BYGQMuv3A32QfL5MlhrIL5v08Xqf43c7Nl+pYN9aphqwIZa+enySo7YE6L1qfYsMg1CzXUIBVAG8QDJTrKpyU0=</go:docsCustomData>
</go:gDocsCustomXmlDataStorage>
</file>

<file path=customXml/itemProps1.xml><?xml version="1.0" encoding="utf-8"?>
<ds:datastoreItem xmlns:ds="http://schemas.openxmlformats.org/officeDocument/2006/customXml" ds:itemID="{0F626BA1-D97E-41B6-A3C5-DD3E1C5B1B9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Practical Law Company</dc:creator>
  <lastModifiedBy>Carl Wills</lastModifiedBy>
  <revision>4</revision>
  <dcterms:created xsi:type="dcterms:W3CDTF">2024-10-21T14:01:00.0000000Z</dcterms:created>
  <dcterms:modified xsi:type="dcterms:W3CDTF">2024-10-21T14:06:46.5814756Z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PRECID">
    <vt:i4>1</vt:i4>
  </property>
  <property fmtid="{D5CDD505-2E9C-101B-9397-08002B2CF9AE}" pid="3" name="BASEPRECTYPE">
    <vt:lpwstr>BLANK</vt:lpwstr>
  </property>
  <property fmtid="{D5CDD505-2E9C-101B-9397-08002B2CF9AE}" pid="4" name="DOCID">
    <vt:i4>2284435</vt:i4>
  </property>
  <property fmtid="{D5CDD505-2E9C-101B-9397-08002B2CF9AE}" pid="5" name="DOCIDEX">
    <vt:lpwstr/>
  </property>
  <property fmtid="{D5CDD505-2E9C-101B-9397-08002B2CF9AE}" pid="6" name="COMPANYID">
    <vt:i4>2122615771</vt:i4>
  </property>
  <property fmtid="{D5CDD505-2E9C-101B-9397-08002B2CF9AE}" pid="7" name="SERIALNO">
    <vt:i4>11904</vt:i4>
  </property>
  <property fmtid="{D5CDD505-2E9C-101B-9397-08002B2CF9AE}" pid="8" name="EDITION">
    <vt:lpwstr>FM</vt:lpwstr>
  </property>
  <property fmtid="{D5CDD505-2E9C-101B-9397-08002B2CF9AE}" pid="9" name="CLIENTID">
    <vt:i4>14531</vt:i4>
  </property>
  <property fmtid="{D5CDD505-2E9C-101B-9397-08002B2CF9AE}" pid="10" name="FILEID">
    <vt:i4>69129</vt:i4>
  </property>
  <property fmtid="{D5CDD505-2E9C-101B-9397-08002B2CF9AE}" pid="11" name="ASSOCID">
    <vt:i4>98938</vt:i4>
  </property>
  <property fmtid="{D5CDD505-2E9C-101B-9397-08002B2CF9AE}" pid="12" name="VERSIONID">
    <vt:lpwstr>c8bf00d5-3db8-4fa4-bbef-d70049ffe2a8</vt:lpwstr>
  </property>
  <property fmtid="{D5CDD505-2E9C-101B-9397-08002B2CF9AE}" pid="13" name="VERSIONLABEL">
    <vt:lpwstr>1</vt:lpwstr>
  </property>
  <property fmtid="{D5CDD505-2E9C-101B-9397-08002B2CF9AE}" pid="14" name="DOCID_2122615771">
    <vt:r8>2284435</vt:r8>
  </property>
  <property fmtid="{D5CDD505-2E9C-101B-9397-08002B2CF9AE}" pid="15" name="DOCID_2122615771_">
    <vt:r8>2284435</vt:r8>
  </property>
  <property fmtid="{D5CDD505-2E9C-101B-9397-08002B2CF9AE}" pid="16" name="DOCID_11904">
    <vt:r8>2284435</vt:r8>
  </property>
  <property fmtid="{D5CDD505-2E9C-101B-9397-08002B2CF9AE}" pid="17" name="VERSIONID_2122615771">
    <vt:lpwstr>c8bf00d5-3db8-4fa4-bbef-d70049ffe2a8</vt:lpwstr>
  </property>
  <property fmtid="{D5CDD505-2E9C-101B-9397-08002B2CF9AE}" pid="18" name="VERSIONID_2122615771_">
    <vt:lpwstr>c8bf00d5-3db8-4fa4-bbef-d70049ffe2a8</vt:lpwstr>
  </property>
  <property fmtid="{D5CDD505-2E9C-101B-9397-08002B2CF9AE}" pid="19" name="GrammarlyDocumentId">
    <vt:lpwstr>efd3e79d2d4ce2b9861c179be79bde606d2418a59b99d829cca3dbe1cd843b9f</vt:lpwstr>
  </property>
</Properties>
</file>